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6CC07" w14:textId="3470CDE1" w:rsidR="00281B29" w:rsidRDefault="00281B29" w:rsidP="00281B29"/>
    <w:p w14:paraId="0F6E198A" w14:textId="77777777" w:rsidR="00281B29" w:rsidRDefault="00281B29" w:rsidP="00281B29"/>
    <w:p w14:paraId="0DD68A65" w14:textId="77777777" w:rsidR="00281B29" w:rsidRDefault="00281B29" w:rsidP="00281B29"/>
    <w:p w14:paraId="7A87EE33" w14:textId="77777777" w:rsidR="00281B29" w:rsidRDefault="00281B29" w:rsidP="00281B29"/>
    <w:p w14:paraId="4BCA0C7E" w14:textId="77777777" w:rsidR="00281B29" w:rsidRDefault="00281B29" w:rsidP="00281B29"/>
    <w:p w14:paraId="214E2241" w14:textId="77777777" w:rsidR="00281B29" w:rsidRDefault="00281B29" w:rsidP="00281B29"/>
    <w:p w14:paraId="4D84E158" w14:textId="77777777" w:rsidR="00281B29" w:rsidRDefault="00281B29" w:rsidP="00281B29"/>
    <w:p w14:paraId="7DC5BC9D" w14:textId="77777777" w:rsidR="00281B29" w:rsidRDefault="00281B29" w:rsidP="00281B29"/>
    <w:p w14:paraId="25E1D676" w14:textId="77777777" w:rsidR="00281B29" w:rsidRDefault="00281B29" w:rsidP="00281B29"/>
    <w:p w14:paraId="63ED376B" w14:textId="77777777" w:rsidR="00281B29" w:rsidRDefault="00281B29" w:rsidP="00281B29"/>
    <w:p w14:paraId="1E73F9D0" w14:textId="77777777" w:rsidR="00281B29" w:rsidRDefault="00281B29" w:rsidP="00281B29"/>
    <w:p w14:paraId="6243504A" w14:textId="77777777" w:rsidR="00281B29" w:rsidRDefault="00281B29" w:rsidP="00281B29"/>
    <w:p w14:paraId="4B6C1BC5" w14:textId="77777777" w:rsidR="00281B29" w:rsidRDefault="00281B29" w:rsidP="00281B29"/>
    <w:p w14:paraId="0D723C32" w14:textId="77777777" w:rsidR="00281B29" w:rsidRDefault="00281B29" w:rsidP="00281B29"/>
    <w:p w14:paraId="727C05A8" w14:textId="77777777" w:rsidR="00281B29" w:rsidRDefault="00281B29" w:rsidP="00281B29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7A8D4B" wp14:editId="548B3C3A">
                <wp:simplePos x="0" y="0"/>
                <wp:positionH relativeFrom="column">
                  <wp:posOffset>965835</wp:posOffset>
                </wp:positionH>
                <wp:positionV relativeFrom="paragraph">
                  <wp:posOffset>1545590</wp:posOffset>
                </wp:positionV>
                <wp:extent cx="4585648" cy="1403985"/>
                <wp:effectExtent l="0" t="0" r="5715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564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63847" w14:textId="69D95AA8" w:rsidR="00792FCF" w:rsidRPr="00AC5654" w:rsidRDefault="001D798C" w:rsidP="00792FCF">
                            <w:pPr>
                              <w:spacing w:line="276" w:lineRule="auto"/>
                              <w:jc w:val="left"/>
                              <w:rPr>
                                <w:rFonts w:ascii="Ebrima" w:hAnsi="Ebrima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Ebrima" w:hAnsi="Ebrima"/>
                                <w:b/>
                                <w:color w:val="FF0000"/>
                                <w:sz w:val="36"/>
                              </w:rPr>
                              <w:t>CAMPUS CIDADE OCIDENTAL</w:t>
                            </w:r>
                          </w:p>
                          <w:p w14:paraId="081009A6" w14:textId="58B17DA5" w:rsidR="00792FCF" w:rsidRPr="00AC5654" w:rsidRDefault="001D798C" w:rsidP="00792FCF">
                            <w:pPr>
                              <w:jc w:val="left"/>
                              <w:rPr>
                                <w:rFonts w:ascii="Ebrima" w:hAnsi="Ebrima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Ebrima" w:hAnsi="Ebrima"/>
                                <w:b/>
                                <w:color w:val="FF0000"/>
                                <w:sz w:val="24"/>
                              </w:rPr>
                              <w:t>UFG</w:t>
                            </w:r>
                          </w:p>
                          <w:p w14:paraId="76B6EBD2" w14:textId="304BF02E" w:rsidR="002F1701" w:rsidRPr="00AC5654" w:rsidRDefault="001D798C" w:rsidP="002F1701">
                            <w:pPr>
                              <w:jc w:val="left"/>
                              <w:rPr>
                                <w:rFonts w:ascii="Ebrima" w:hAnsi="Ebrima"/>
                                <w:sz w:val="24"/>
                              </w:rPr>
                            </w:pPr>
                            <w:r>
                              <w:rPr>
                                <w:rFonts w:ascii="Ebrima" w:hAnsi="Ebrima"/>
                                <w:sz w:val="24"/>
                              </w:rPr>
                              <w:t>Goiânia</w:t>
                            </w:r>
                            <w:r w:rsidR="002E5955">
                              <w:rPr>
                                <w:rFonts w:ascii="Ebrima" w:hAnsi="Ebrima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Ebrima" w:hAnsi="Ebrima"/>
                                <w:sz w:val="24"/>
                              </w:rPr>
                              <w:t>Goiás</w:t>
                            </w:r>
                            <w:r w:rsidR="002F1701" w:rsidRPr="00AC5654">
                              <w:rPr>
                                <w:rFonts w:ascii="Ebrima" w:hAnsi="Ebrima"/>
                                <w:sz w:val="24"/>
                              </w:rPr>
                              <w:t>.</w:t>
                            </w:r>
                          </w:p>
                          <w:p w14:paraId="7732DDD1" w14:textId="0139C487" w:rsidR="00F84433" w:rsidRPr="007F6B04" w:rsidRDefault="00F84433" w:rsidP="00F84433">
                            <w:pPr>
                              <w:jc w:val="right"/>
                              <w:rPr>
                                <w:rFonts w:ascii="Ebrima" w:hAnsi="Ebrima"/>
                                <w:sz w:val="24"/>
                              </w:rPr>
                            </w:pPr>
                            <w:r>
                              <w:rPr>
                                <w:rFonts w:ascii="Ebrima" w:hAnsi="Ebrima"/>
                                <w:sz w:val="24"/>
                              </w:rPr>
                              <w:t xml:space="preserve">Revisão: </w:t>
                            </w:r>
                            <w:proofErr w:type="spellStart"/>
                            <w:r>
                              <w:rPr>
                                <w:rFonts w:ascii="Ebrima" w:hAnsi="Ebrima"/>
                                <w:sz w:val="24"/>
                              </w:rPr>
                              <w:t>R0</w:t>
                            </w:r>
                            <w:r w:rsidR="006D2331">
                              <w:rPr>
                                <w:rFonts w:ascii="Ebrima" w:hAnsi="Ebrima"/>
                                <w:sz w:val="24"/>
                              </w:rPr>
                              <w:t>1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7A8D4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76.05pt;margin-top:121.7pt;width:361.0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" stroked="f">
                <v:textbox style="mso-fit-shape-to-text:t">
                  <w:txbxContent>
                    <w:p w14:paraId="51D63847" w14:textId="69D95AA8" w:rsidR="00792FCF" w:rsidRPr="00AC5654" w:rsidRDefault="001D798C" w:rsidP="00792FCF">
                      <w:pPr>
                        <w:spacing w:line="276" w:lineRule="auto"/>
                        <w:jc w:val="left"/>
                        <w:rPr>
                          <w:rFonts w:ascii="Ebrima" w:hAnsi="Ebrima"/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rFonts w:ascii="Ebrima" w:hAnsi="Ebrima"/>
                          <w:b/>
                          <w:color w:val="FF0000"/>
                          <w:sz w:val="36"/>
                        </w:rPr>
                        <w:t>CAMPUS CIDADE OCIDENTAL</w:t>
                      </w:r>
                    </w:p>
                    <w:p w14:paraId="081009A6" w14:textId="58B17DA5" w:rsidR="00792FCF" w:rsidRPr="00AC5654" w:rsidRDefault="001D798C" w:rsidP="00792FCF">
                      <w:pPr>
                        <w:jc w:val="left"/>
                        <w:rPr>
                          <w:rFonts w:ascii="Ebrima" w:hAnsi="Ebrim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Ebrima" w:hAnsi="Ebrima"/>
                          <w:b/>
                          <w:color w:val="FF0000"/>
                          <w:sz w:val="24"/>
                        </w:rPr>
                        <w:t>UFG</w:t>
                      </w:r>
                    </w:p>
                    <w:p w14:paraId="76B6EBD2" w14:textId="304BF02E" w:rsidR="002F1701" w:rsidRPr="00AC5654" w:rsidRDefault="001D798C" w:rsidP="002F1701">
                      <w:pPr>
                        <w:jc w:val="left"/>
                        <w:rPr>
                          <w:rFonts w:ascii="Ebrima" w:hAnsi="Ebrima"/>
                          <w:sz w:val="24"/>
                        </w:rPr>
                      </w:pPr>
                      <w:r>
                        <w:rPr>
                          <w:rFonts w:ascii="Ebrima" w:hAnsi="Ebrima"/>
                          <w:sz w:val="24"/>
                        </w:rPr>
                        <w:t>Goiânia</w:t>
                      </w:r>
                      <w:r w:rsidR="002E5955">
                        <w:rPr>
                          <w:rFonts w:ascii="Ebrima" w:hAnsi="Ebrima"/>
                          <w:sz w:val="24"/>
                        </w:rPr>
                        <w:t xml:space="preserve">, </w:t>
                      </w:r>
                      <w:r>
                        <w:rPr>
                          <w:rFonts w:ascii="Ebrima" w:hAnsi="Ebrima"/>
                          <w:sz w:val="24"/>
                        </w:rPr>
                        <w:t>Goiás</w:t>
                      </w:r>
                      <w:r w:rsidR="002F1701" w:rsidRPr="00AC5654">
                        <w:rPr>
                          <w:rFonts w:ascii="Ebrima" w:hAnsi="Ebrima"/>
                          <w:sz w:val="24"/>
                        </w:rPr>
                        <w:t>.</w:t>
                      </w:r>
                    </w:p>
                    <w:p w14:paraId="7732DDD1" w14:textId="0139C487" w:rsidR="00F84433" w:rsidRPr="007F6B04" w:rsidRDefault="00F84433" w:rsidP="00F84433">
                      <w:pPr>
                        <w:jc w:val="right"/>
                        <w:rPr>
                          <w:rFonts w:ascii="Ebrima" w:hAnsi="Ebrima"/>
                          <w:sz w:val="24"/>
                        </w:rPr>
                      </w:pPr>
                      <w:r>
                        <w:rPr>
                          <w:rFonts w:ascii="Ebrima" w:hAnsi="Ebrima"/>
                          <w:sz w:val="24"/>
                        </w:rPr>
                        <w:t xml:space="preserve">Revisão: </w:t>
                      </w:r>
                      <w:proofErr w:type="spellStart"/>
                      <w:r>
                        <w:rPr>
                          <w:rFonts w:ascii="Ebrima" w:hAnsi="Ebrima"/>
                          <w:sz w:val="24"/>
                        </w:rPr>
                        <w:t>R0</w:t>
                      </w:r>
                      <w:r w:rsidR="006D2331">
                        <w:rPr>
                          <w:rFonts w:ascii="Ebrima" w:hAnsi="Ebrima"/>
                          <w:sz w:val="24"/>
                        </w:rPr>
                        <w:t>1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7C926FEF" wp14:editId="18DD0F20">
            <wp:extent cx="5450047" cy="518509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D-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047" cy="518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10626" w:type="dxa"/>
        <w:tblInd w:w="-601" w:type="dxa"/>
        <w:tblLook w:val="04A0" w:firstRow="1" w:lastRow="0" w:firstColumn="1" w:lastColumn="0" w:noHBand="0" w:noVBand="1"/>
      </w:tblPr>
      <w:tblGrid>
        <w:gridCol w:w="2860"/>
        <w:gridCol w:w="7766"/>
      </w:tblGrid>
      <w:tr w:rsidR="002F1701" w14:paraId="0B856C52" w14:textId="77777777" w:rsidTr="007741D4">
        <w:trPr>
          <w:trHeight w:val="837"/>
        </w:trPr>
        <w:tc>
          <w:tcPr>
            <w:tcW w:w="2860" w:type="dxa"/>
            <w:vAlign w:val="center"/>
          </w:tcPr>
          <w:p w14:paraId="00438FFD" w14:textId="77777777" w:rsidR="002F1701" w:rsidRPr="00254904" w:rsidRDefault="002F1701" w:rsidP="007741D4">
            <w:pPr>
              <w:spacing w:line="276" w:lineRule="auto"/>
              <w:jc w:val="left"/>
              <w:rPr>
                <w:rFonts w:cs="Arial"/>
                <w:b/>
                <w:sz w:val="18"/>
              </w:rPr>
            </w:pPr>
            <w:bookmarkStart w:id="0" w:name="_Hlk81517443"/>
            <w:r w:rsidRPr="00254904">
              <w:rPr>
                <w:rFonts w:cs="Arial"/>
                <w:b/>
                <w:sz w:val="18"/>
              </w:rPr>
              <w:lastRenderedPageBreak/>
              <w:t>EMPREENDIMENTO:</w:t>
            </w:r>
          </w:p>
          <w:p w14:paraId="3AF79628" w14:textId="4943F86F" w:rsidR="002F1701" w:rsidRPr="00AC7DCB" w:rsidRDefault="001D798C" w:rsidP="00BE11F7">
            <w:pPr>
              <w:spacing w:line="276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UFG CAMPUS CIDADE OCIDENTAL</w:t>
            </w:r>
          </w:p>
        </w:tc>
        <w:tc>
          <w:tcPr>
            <w:tcW w:w="7766" w:type="dxa"/>
            <w:vAlign w:val="center"/>
          </w:tcPr>
          <w:p w14:paraId="3BD8E992" w14:textId="0C619011" w:rsidR="00047AB1" w:rsidRPr="00047AB1" w:rsidRDefault="002F1701" w:rsidP="007741D4">
            <w:pPr>
              <w:spacing w:line="276" w:lineRule="auto"/>
              <w:jc w:val="left"/>
              <w:rPr>
                <w:rFonts w:cs="Arial"/>
                <w:b/>
              </w:rPr>
            </w:pPr>
            <w:r w:rsidRPr="00254904">
              <w:rPr>
                <w:rFonts w:cs="Arial"/>
                <w:b/>
                <w:sz w:val="18"/>
              </w:rPr>
              <w:t>CLIENTE:</w:t>
            </w:r>
            <w:r w:rsidR="00AC5654">
              <w:rPr>
                <w:rFonts w:cs="Arial"/>
                <w:b/>
              </w:rPr>
              <w:t xml:space="preserve">  </w:t>
            </w:r>
            <w:r w:rsidR="00047AB1">
              <w:rPr>
                <w:rFonts w:cs="Arial"/>
                <w:b/>
              </w:rPr>
              <w:t>UNIVERSIDADE FEDERAL DE GOIÁS</w:t>
            </w:r>
          </w:p>
        </w:tc>
      </w:tr>
      <w:tr w:rsidR="002F1701" w:rsidRPr="00FF4E78" w14:paraId="387C56DA" w14:textId="77777777" w:rsidTr="007741D4">
        <w:trPr>
          <w:trHeight w:val="1228"/>
        </w:trPr>
        <w:tc>
          <w:tcPr>
            <w:tcW w:w="2860" w:type="dxa"/>
            <w:vAlign w:val="center"/>
          </w:tcPr>
          <w:p w14:paraId="48DD9B62" w14:textId="67308C74" w:rsidR="002F1701" w:rsidRPr="001D798C" w:rsidRDefault="002F1701" w:rsidP="000F3A02">
            <w:pPr>
              <w:spacing w:line="276" w:lineRule="auto"/>
              <w:jc w:val="left"/>
              <w:rPr>
                <w:rFonts w:cs="Arial"/>
                <w:b/>
              </w:rPr>
            </w:pPr>
            <w:r w:rsidRPr="00254904">
              <w:rPr>
                <w:rFonts w:cs="Arial"/>
                <w:b/>
                <w:sz w:val="18"/>
              </w:rPr>
              <w:t>CNPJ:</w:t>
            </w:r>
            <w:r w:rsidRPr="00F93894">
              <w:rPr>
                <w:rFonts w:cs="Arial"/>
                <w:b/>
              </w:rPr>
              <w:t xml:space="preserve"> </w:t>
            </w:r>
            <w:r w:rsidR="00047AB1">
              <w:rPr>
                <w:rFonts w:cs="Arial"/>
                <w:b/>
              </w:rPr>
              <w:t>01.567.601/0001-43</w:t>
            </w:r>
          </w:p>
        </w:tc>
        <w:tc>
          <w:tcPr>
            <w:tcW w:w="7766" w:type="dxa"/>
            <w:vAlign w:val="center"/>
          </w:tcPr>
          <w:p w14:paraId="789EE4A7" w14:textId="77777777" w:rsidR="002F1701" w:rsidRPr="00254904" w:rsidRDefault="002F1701" w:rsidP="007741D4">
            <w:pPr>
              <w:spacing w:line="276" w:lineRule="auto"/>
              <w:jc w:val="lef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ENDEREÇO:</w:t>
            </w:r>
          </w:p>
          <w:p w14:paraId="09E5FD91" w14:textId="3ED2672C" w:rsidR="002F1701" w:rsidRDefault="001D798C" w:rsidP="000F3A02">
            <w:pPr>
              <w:jc w:val="left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Gleba 2-A, Fazenda Saia Velha</w:t>
            </w:r>
            <w:r w:rsidR="005C7A83">
              <w:rPr>
                <w:rFonts w:cs="Arial"/>
                <w:b/>
                <w:sz w:val="24"/>
              </w:rPr>
              <w:t xml:space="preserve">, </w:t>
            </w:r>
            <w:r>
              <w:rPr>
                <w:rFonts w:cs="Arial"/>
                <w:b/>
                <w:sz w:val="24"/>
              </w:rPr>
              <w:t>Cidade Ocidental-GO</w:t>
            </w:r>
          </w:p>
          <w:p w14:paraId="02B6C3A6" w14:textId="1061D88A" w:rsidR="005C7A83" w:rsidRPr="00AD00CA" w:rsidRDefault="005C7A83" w:rsidP="000F3A02">
            <w:pPr>
              <w:jc w:val="left"/>
            </w:pPr>
            <w:r>
              <w:rPr>
                <w:sz w:val="24"/>
              </w:rPr>
              <w:t xml:space="preserve">CEP: </w:t>
            </w:r>
            <w:r w:rsidR="001D798C">
              <w:rPr>
                <w:sz w:val="24"/>
              </w:rPr>
              <w:t>72.880-000</w:t>
            </w:r>
          </w:p>
        </w:tc>
      </w:tr>
      <w:bookmarkEnd w:id="0"/>
    </w:tbl>
    <w:p w14:paraId="51355020" w14:textId="77777777" w:rsidR="005C7935" w:rsidRDefault="005C7935" w:rsidP="00281B29"/>
    <w:p w14:paraId="658822A7" w14:textId="77777777" w:rsidR="005C7935" w:rsidRDefault="005C7935" w:rsidP="00281B29"/>
    <w:p w14:paraId="46CD660E" w14:textId="77777777" w:rsidR="005C7935" w:rsidRDefault="005C7935" w:rsidP="00281B29"/>
    <w:p w14:paraId="7B208CA8" w14:textId="77777777" w:rsidR="005C7935" w:rsidRDefault="005C7935" w:rsidP="00281B29"/>
    <w:p w14:paraId="4A8EF457" w14:textId="77777777" w:rsidR="005C7935" w:rsidRDefault="005C7935" w:rsidP="00281B29"/>
    <w:p w14:paraId="6AE999F9" w14:textId="77777777" w:rsidR="005C7935" w:rsidRDefault="005C7935" w:rsidP="00281B29"/>
    <w:p w14:paraId="0007D476" w14:textId="77777777" w:rsidR="005C7935" w:rsidRDefault="005C7935" w:rsidP="00281B29"/>
    <w:p w14:paraId="72AF2040" w14:textId="77777777" w:rsidR="005C7935" w:rsidRDefault="005C7935" w:rsidP="00281B29"/>
    <w:sdt>
      <w:sdtPr>
        <w:rPr>
          <w:rFonts w:ascii="Trebuchet MS" w:eastAsiaTheme="minorHAnsi" w:hAnsi="Trebuchet MS" w:cstheme="minorBidi"/>
          <w:b w:val="0"/>
          <w:bCs w:val="0"/>
          <w:color w:val="auto"/>
          <w:sz w:val="20"/>
          <w:szCs w:val="22"/>
          <w:lang w:eastAsia="en-US"/>
        </w:rPr>
        <w:id w:val="-1100256027"/>
        <w:docPartObj>
          <w:docPartGallery w:val="Table of Contents"/>
          <w:docPartUnique/>
        </w:docPartObj>
      </w:sdtPr>
      <w:sdtContent>
        <w:p w14:paraId="33D1DEAF" w14:textId="1C3CA07F" w:rsidR="005C7935" w:rsidRDefault="005C7935">
          <w:pPr>
            <w:pStyle w:val="CabealhodoSumrio"/>
          </w:pPr>
          <w:r>
            <w:t>Sumário</w:t>
          </w:r>
        </w:p>
        <w:p w14:paraId="650DCBE7" w14:textId="3EFD7937" w:rsidR="005C7935" w:rsidRDefault="005C7935">
          <w:pPr>
            <w:pStyle w:val="Sumrio1"/>
            <w:tabs>
              <w:tab w:val="left" w:pos="44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527405" w:history="1">
            <w:r w:rsidRPr="0099141D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Objetivo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45C72" w14:textId="7826F6C7" w:rsidR="005C7935" w:rsidRDefault="005C7935">
          <w:pPr>
            <w:pStyle w:val="Sumrio1"/>
            <w:tabs>
              <w:tab w:val="left" w:pos="44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06" w:history="1">
            <w:r w:rsidRPr="0099141D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Normas Técnicas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B611A" w14:textId="78E9EBA3" w:rsidR="005C7935" w:rsidRDefault="005C7935">
          <w:pPr>
            <w:pStyle w:val="Sumrio1"/>
            <w:tabs>
              <w:tab w:val="left" w:pos="44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07" w:history="1">
            <w:r w:rsidRPr="0099141D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Critérios de Desempenho e Vida Útil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78D433" w14:textId="7B99275F" w:rsidR="005C7935" w:rsidRDefault="005C7935">
          <w:pPr>
            <w:pStyle w:val="Sumrio1"/>
            <w:tabs>
              <w:tab w:val="left" w:pos="44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08" w:history="1">
            <w:r w:rsidRPr="0099141D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Especificações Técnicas e Premissas de Componentes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17362" w14:textId="36333B77" w:rsidR="005C7935" w:rsidRDefault="005C7935">
          <w:pPr>
            <w:pStyle w:val="Sumrio1"/>
            <w:tabs>
              <w:tab w:val="left" w:pos="6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09" w:history="1">
            <w:r w:rsidRPr="0099141D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Central de Detecção e Alarme Contra Incêndio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43BB0" w14:textId="682593A6" w:rsidR="005C7935" w:rsidRDefault="005C7935">
          <w:pPr>
            <w:pStyle w:val="Sumrio1"/>
            <w:tabs>
              <w:tab w:val="left" w:pos="6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10" w:history="1">
            <w:r w:rsidRPr="0099141D">
              <w:rPr>
                <w:rStyle w:val="Hyperlink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Acionadores Manuais Contra Incêndio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52948B" w14:textId="46300326" w:rsidR="005C7935" w:rsidRDefault="005C7935">
          <w:pPr>
            <w:pStyle w:val="Sumrio1"/>
            <w:tabs>
              <w:tab w:val="left" w:pos="6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11" w:history="1">
            <w:r w:rsidRPr="0099141D">
              <w:rPr>
                <w:rStyle w:val="Hyperlink"/>
                <w:noProof/>
              </w:rPr>
              <w:t>4.4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Eletrodutos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98EE3" w14:textId="7E58EF7F" w:rsidR="005C7935" w:rsidRDefault="005C7935">
          <w:pPr>
            <w:pStyle w:val="Sumrio1"/>
            <w:tabs>
              <w:tab w:val="left" w:pos="660"/>
              <w:tab w:val="right" w:leader="dot" w:pos="8921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pt-BR"/>
              <w14:ligatures w14:val="standardContextual"/>
            </w:rPr>
          </w:pPr>
          <w:hyperlink w:anchor="_Toc155527412" w:history="1">
            <w:r w:rsidRPr="0099141D">
              <w:rPr>
                <w:rStyle w:val="Hyperlink"/>
                <w:noProof/>
              </w:rPr>
              <w:t>4.5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t-BR"/>
                <w14:ligatures w14:val="standardContextual"/>
              </w:rPr>
              <w:tab/>
            </w:r>
            <w:r w:rsidRPr="0099141D">
              <w:rPr>
                <w:rStyle w:val="Hyperlink"/>
                <w:noProof/>
              </w:rPr>
              <w:t>Condutores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_Toc155527412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151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8B811" w14:textId="13541880" w:rsidR="005C7935" w:rsidRDefault="005C7935">
          <w:r>
            <w:rPr>
              <w:b/>
              <w:bCs/>
            </w:rPr>
            <w:fldChar w:fldCharType="end"/>
          </w:r>
        </w:p>
      </w:sdtContent>
    </w:sdt>
    <w:p w14:paraId="15C54780" w14:textId="77777777" w:rsidR="005C7935" w:rsidRDefault="005C7935" w:rsidP="00281B29"/>
    <w:p w14:paraId="00566C11" w14:textId="77777777" w:rsidR="005C7935" w:rsidRDefault="005C7935" w:rsidP="00281B29"/>
    <w:p w14:paraId="7FBCF53C" w14:textId="77777777" w:rsidR="005C7935" w:rsidRDefault="005C7935" w:rsidP="00281B29"/>
    <w:p w14:paraId="4B188A79" w14:textId="77777777" w:rsidR="005C7935" w:rsidRDefault="005C7935" w:rsidP="00281B29"/>
    <w:p w14:paraId="723C1833" w14:textId="77777777" w:rsidR="005C7935" w:rsidRDefault="005C7935" w:rsidP="00281B29"/>
    <w:p w14:paraId="002CFA43" w14:textId="77777777" w:rsidR="005C7935" w:rsidRDefault="005C7935" w:rsidP="00281B29"/>
    <w:p w14:paraId="457AF18B" w14:textId="77777777" w:rsidR="005C7935" w:rsidRDefault="005C7935" w:rsidP="00281B29"/>
    <w:p w14:paraId="117039C1" w14:textId="77777777" w:rsidR="005C7935" w:rsidRDefault="005C7935" w:rsidP="00281B29"/>
    <w:p w14:paraId="12DF73FC" w14:textId="77777777" w:rsidR="005C7935" w:rsidRDefault="005C7935" w:rsidP="00281B29"/>
    <w:p w14:paraId="1B9409D8" w14:textId="77777777" w:rsidR="005C7935" w:rsidRDefault="005C7935" w:rsidP="00281B29"/>
    <w:p w14:paraId="49F0835C" w14:textId="77777777" w:rsidR="00281B29" w:rsidRDefault="00281B29" w:rsidP="00281B29">
      <w:pPr>
        <w:pStyle w:val="Ttulo1"/>
        <w:numPr>
          <w:ilvl w:val="0"/>
          <w:numId w:val="3"/>
        </w:numPr>
        <w:jc w:val="left"/>
      </w:pPr>
      <w:bookmarkStart w:id="1" w:name="_Toc299545419"/>
      <w:bookmarkStart w:id="2" w:name="_Toc399394547"/>
      <w:bookmarkStart w:id="3" w:name="_Toc155527405"/>
      <w:r>
        <w:lastRenderedPageBreak/>
        <w:t>Objetivo</w:t>
      </w:r>
      <w:bookmarkEnd w:id="1"/>
      <w:bookmarkEnd w:id="2"/>
      <w:bookmarkEnd w:id="3"/>
    </w:p>
    <w:p w14:paraId="5CCDDE68" w14:textId="77777777" w:rsidR="00764A22" w:rsidRPr="00CD0651" w:rsidRDefault="00764A22" w:rsidP="00764A22">
      <w:pPr>
        <w:rPr>
          <w:rFonts w:cs="Arial"/>
        </w:rPr>
      </w:pPr>
    </w:p>
    <w:p w14:paraId="60DA13E5" w14:textId="77777777" w:rsidR="00764A22" w:rsidRDefault="00764A22" w:rsidP="00764A22">
      <w:pPr>
        <w:rPr>
          <w:rFonts w:cs="Arial"/>
        </w:rPr>
      </w:pPr>
      <w:r>
        <w:rPr>
          <w:rFonts w:cs="Arial"/>
        </w:rPr>
        <w:tab/>
      </w:r>
      <w:r w:rsidRPr="00CD0651">
        <w:rPr>
          <w:rFonts w:cs="Arial"/>
        </w:rPr>
        <w:t>Os eletricistas e seus auxiliares deverão ser tecnicamente capacitados para execução das instalações</w:t>
      </w:r>
      <w:r>
        <w:rPr>
          <w:rFonts w:cs="Arial"/>
        </w:rPr>
        <w:t xml:space="preserve"> aqui explicitadas e t</w:t>
      </w:r>
      <w:r w:rsidRPr="00CD0651">
        <w:rPr>
          <w:rFonts w:cs="Arial"/>
        </w:rPr>
        <w:t>odos os materiais a serem empregados, deverão ser novos e de acordo com as especificações.</w:t>
      </w:r>
    </w:p>
    <w:p w14:paraId="293A2969" w14:textId="77777777" w:rsidR="00764A22" w:rsidRPr="00CD0651" w:rsidRDefault="00764A22" w:rsidP="00764A22">
      <w:pPr>
        <w:rPr>
          <w:rFonts w:cs="Arial"/>
        </w:rPr>
      </w:pPr>
    </w:p>
    <w:p w14:paraId="3753663B" w14:textId="77777777" w:rsidR="00764A22" w:rsidRPr="00CD0651" w:rsidRDefault="00764A22" w:rsidP="00764A22">
      <w:pPr>
        <w:rPr>
          <w:rFonts w:cs="Arial"/>
        </w:rPr>
      </w:pPr>
      <w:r>
        <w:rPr>
          <w:rFonts w:cs="Arial"/>
        </w:rPr>
        <w:tab/>
      </w:r>
      <w:r w:rsidRPr="00CD0651">
        <w:rPr>
          <w:rFonts w:cs="Arial"/>
        </w:rPr>
        <w:t xml:space="preserve">Qualquer alteração, em relação ao projeto e/ou emprego de material inexistente na praça, só será permitida após consulta ao Autor do </w:t>
      </w:r>
      <w:r>
        <w:rPr>
          <w:rFonts w:cs="Arial"/>
        </w:rPr>
        <w:t>P</w:t>
      </w:r>
      <w:r w:rsidRPr="00CD0651">
        <w:rPr>
          <w:rFonts w:cs="Arial"/>
        </w:rPr>
        <w:t xml:space="preserve">rojeto, sob pena de possíveis danos às instalações e, portanto, nenhuma responsabilidade por parte </w:t>
      </w:r>
      <w:proofErr w:type="gramStart"/>
      <w:r w:rsidRPr="00CD0651">
        <w:rPr>
          <w:rFonts w:cs="Arial"/>
        </w:rPr>
        <w:t>do mesmo</w:t>
      </w:r>
      <w:proofErr w:type="gramEnd"/>
      <w:r w:rsidRPr="00CD0651">
        <w:rPr>
          <w:rFonts w:cs="Arial"/>
        </w:rPr>
        <w:t>.</w:t>
      </w:r>
    </w:p>
    <w:p w14:paraId="55550243" w14:textId="77777777" w:rsidR="00A121A1" w:rsidRDefault="00A121A1" w:rsidP="004C2823">
      <w:pPr>
        <w:ind w:firstLine="644"/>
      </w:pPr>
    </w:p>
    <w:p w14:paraId="47E4C578" w14:textId="77777777" w:rsidR="00010EB8" w:rsidRDefault="00010EB8" w:rsidP="00010EB8">
      <w:pPr>
        <w:pStyle w:val="Ttulo1"/>
        <w:numPr>
          <w:ilvl w:val="0"/>
          <w:numId w:val="3"/>
        </w:numPr>
        <w:jc w:val="left"/>
      </w:pPr>
      <w:bookmarkStart w:id="4" w:name="_Toc155527406"/>
      <w:r>
        <w:t>Normas Técnicas</w:t>
      </w:r>
      <w:bookmarkEnd w:id="4"/>
    </w:p>
    <w:p w14:paraId="2E787AAA" w14:textId="77777777" w:rsidR="00010EB8" w:rsidRDefault="00010EB8" w:rsidP="00010EB8">
      <w:pPr>
        <w:ind w:firstLine="644"/>
      </w:pPr>
      <w:r>
        <w:t>ABNT NBR 1</w:t>
      </w:r>
      <w:r w:rsidRPr="0067737E">
        <w:t>7240:2010</w:t>
      </w:r>
      <w:r>
        <w:t xml:space="preserve"> em substituição à “NBR 9441/1998” </w:t>
      </w:r>
    </w:p>
    <w:p w14:paraId="1C119B82" w14:textId="6EB3DDB2" w:rsidR="00010EB8" w:rsidRDefault="00010EB8" w:rsidP="0071633E">
      <w:pPr>
        <w:ind w:firstLine="644"/>
      </w:pPr>
      <w:r>
        <w:t>ABNT NBR 5410:2004 Instalações Elétricas em Baixa Tensão</w:t>
      </w:r>
    </w:p>
    <w:p w14:paraId="72C0B71B" w14:textId="77777777" w:rsidR="0071633E" w:rsidRDefault="0071633E" w:rsidP="0071633E">
      <w:pPr>
        <w:ind w:firstLine="644"/>
      </w:pPr>
    </w:p>
    <w:p w14:paraId="69803141" w14:textId="77777777" w:rsidR="0004764E" w:rsidRDefault="0004764E" w:rsidP="0004764E">
      <w:pPr>
        <w:pStyle w:val="Ttulo1"/>
        <w:numPr>
          <w:ilvl w:val="0"/>
          <w:numId w:val="3"/>
        </w:numPr>
        <w:jc w:val="left"/>
      </w:pPr>
      <w:bookmarkStart w:id="5" w:name="_Toc155527407"/>
      <w:bookmarkStart w:id="6" w:name="_Hlk81517624"/>
      <w:r>
        <w:t>Critérios de Desempenho e Vida Útil do Projeto</w:t>
      </w:r>
      <w:bookmarkEnd w:id="5"/>
    </w:p>
    <w:p w14:paraId="1854CEDE" w14:textId="77777777" w:rsidR="0004764E" w:rsidRDefault="0004764E" w:rsidP="0004764E"/>
    <w:p w14:paraId="0890CF40" w14:textId="77777777" w:rsidR="0004764E" w:rsidRDefault="0004764E" w:rsidP="0071633E">
      <w:pPr>
        <w:ind w:firstLine="284"/>
      </w:pPr>
      <w:r>
        <w:t>Com relação aos critérios de Desempenho, todos as instalações elétricas devem atender aos critérios estabelecidos em suas respectivas normas técnicas supracitadas, o fato de as normas técnicas das disciplinas de instalações elétricas serem claras com relação ao desempenho de sistemas e componentes, o atendimento direto às normas elétricas atende automaticamente os critérios de desempenho da NBR 15575. O presente memorial atesta o atendimento aos critérios de desempenho das normas de instalações pertinentes. Somente deverão ser adquiridos materiais certificados por suas respectivas normas de fabricação.</w:t>
      </w:r>
    </w:p>
    <w:p w14:paraId="366B915C" w14:textId="77777777" w:rsidR="0004764E" w:rsidRDefault="0004764E" w:rsidP="0004764E"/>
    <w:p w14:paraId="57B4385C" w14:textId="3F45DF00" w:rsidR="0004764E" w:rsidRDefault="0004764E" w:rsidP="0071633E">
      <w:pPr>
        <w:ind w:firstLine="284"/>
        <w:rPr>
          <w:szCs w:val="20"/>
          <w:shd w:val="clear" w:color="auto" w:fill="FFFFFF"/>
        </w:rPr>
      </w:pPr>
      <w:r w:rsidRPr="00AF69D8">
        <w:rPr>
          <w:szCs w:val="20"/>
          <w:shd w:val="clear" w:color="auto" w:fill="FFFFFF"/>
        </w:rPr>
        <w:t xml:space="preserve">A Vida Útil (VU) é definida pela NBR 15575 (ABNT, 2013) como uma medida temporal da durabilidade de um edifício ou de suas partes, ou seja, o período em que estes elementos se prestam às atividades para as quais foram projetados e construídos, considerando a devida realização dos serviços de manutenção, conforme especificados no respectivo Manual de Uso, Operação e Manutenção da edificação. Para garantir a maior vida útil dos elementos citados no item </w:t>
      </w:r>
      <w:r>
        <w:rPr>
          <w:szCs w:val="20"/>
          <w:shd w:val="clear" w:color="auto" w:fill="FFFFFF"/>
        </w:rPr>
        <w:t>de especificações técnicas</w:t>
      </w:r>
      <w:r w:rsidRPr="00AF69D8">
        <w:rPr>
          <w:szCs w:val="20"/>
          <w:shd w:val="clear" w:color="auto" w:fill="FFFFFF"/>
        </w:rPr>
        <w:t xml:space="preserve"> deste memorial, devem ser respeitados a periodicidade de manutenção dos equipamentos.</w:t>
      </w:r>
    </w:p>
    <w:p w14:paraId="37E2F544" w14:textId="77777777" w:rsidR="0004764E" w:rsidRPr="00AF69D8" w:rsidRDefault="0004764E" w:rsidP="0004764E">
      <w:pPr>
        <w:rPr>
          <w:szCs w:val="20"/>
          <w:shd w:val="clear" w:color="auto" w:fill="FFFFFF"/>
        </w:rPr>
      </w:pPr>
    </w:p>
    <w:p w14:paraId="18E8155C" w14:textId="77777777" w:rsidR="0004764E" w:rsidRDefault="0004764E" w:rsidP="0071633E">
      <w:pPr>
        <w:ind w:firstLine="284"/>
      </w:pPr>
      <w:r w:rsidRPr="00AF69D8">
        <w:rPr>
          <w:szCs w:val="20"/>
          <w:shd w:val="clear" w:color="auto" w:fill="FFFFFF"/>
          <w:lang w:val="pt-PT"/>
        </w:rPr>
        <w:t>Os prazos de garantia mínimos dos sistemas, elementos, componentes e instalações estão dispostos na íntegra no Anexo D da NBR 15575 (ABNT, 2013),</w:t>
      </w:r>
      <w:r>
        <w:rPr>
          <w:szCs w:val="20"/>
          <w:shd w:val="clear" w:color="auto" w:fill="FFFFFF"/>
          <w:lang w:val="pt-PT"/>
        </w:rPr>
        <w:t xml:space="preserve"> as instalações elétricas possuem um prazo de garantia de 3 anos.</w:t>
      </w:r>
    </w:p>
    <w:bookmarkEnd w:id="6"/>
    <w:p w14:paraId="6690C5D7" w14:textId="5B02C0D7" w:rsidR="0004764E" w:rsidRDefault="0004764E" w:rsidP="00010EB8"/>
    <w:p w14:paraId="13ACDBFD" w14:textId="77777777" w:rsidR="0004764E" w:rsidRDefault="0004764E" w:rsidP="00010EB8"/>
    <w:p w14:paraId="55BEC8DF" w14:textId="1C0ECDFA" w:rsidR="006F082A" w:rsidRDefault="006F082A" w:rsidP="006F082A">
      <w:pPr>
        <w:pStyle w:val="Ttulo1"/>
        <w:numPr>
          <w:ilvl w:val="0"/>
          <w:numId w:val="3"/>
        </w:numPr>
        <w:jc w:val="left"/>
      </w:pPr>
      <w:bookmarkStart w:id="7" w:name="_Toc155527408"/>
      <w:r>
        <w:lastRenderedPageBreak/>
        <w:t>Especificações Técnicas e Premissas de Componentes</w:t>
      </w:r>
      <w:bookmarkEnd w:id="7"/>
    </w:p>
    <w:p w14:paraId="7F00C29D" w14:textId="77777777" w:rsidR="0004764E" w:rsidRPr="0004764E" w:rsidRDefault="0004764E" w:rsidP="0004764E"/>
    <w:p w14:paraId="3779C672" w14:textId="77777777" w:rsidR="006F082A" w:rsidRDefault="006F082A" w:rsidP="00010EB8"/>
    <w:p w14:paraId="6A878A83" w14:textId="77777777" w:rsidR="00010EB8" w:rsidRDefault="00010EB8" w:rsidP="006F082A">
      <w:pPr>
        <w:pStyle w:val="Ttulo1"/>
        <w:numPr>
          <w:ilvl w:val="1"/>
          <w:numId w:val="3"/>
        </w:numPr>
        <w:jc w:val="left"/>
      </w:pPr>
      <w:bookmarkStart w:id="8" w:name="_Toc155527409"/>
      <w:r>
        <w:t>Central de Detecção e Alarme Contra Incêndio</w:t>
      </w:r>
      <w:bookmarkEnd w:id="8"/>
    </w:p>
    <w:p w14:paraId="6CD9BDF2" w14:textId="77777777" w:rsidR="00010EB8" w:rsidRDefault="00010EB8" w:rsidP="00010EB8"/>
    <w:p w14:paraId="7858DE81" w14:textId="1558917B" w:rsidR="00010EB8" w:rsidRDefault="00010EB8" w:rsidP="00010EB8">
      <w:pPr>
        <w:ind w:firstLine="644"/>
      </w:pPr>
      <w:r>
        <w:t>A central de detecção e alarme de incêndio é responsável pelo controle e supervisão de todo o sistema. Durante a operação deverá permanecer constantemente monitorada.</w:t>
      </w:r>
    </w:p>
    <w:p w14:paraId="045CE2CB" w14:textId="77777777" w:rsidR="00010EB8" w:rsidRDefault="00010EB8" w:rsidP="00010EB8">
      <w:pPr>
        <w:ind w:firstLine="644"/>
      </w:pPr>
      <w:r>
        <w:t>Este equipamento é destinado a processar os sinais provenientes dos circuitos de detecção, a convertê-los em indicações adequadas e a comandar e controlar os demais componentes do sistema.</w:t>
      </w:r>
    </w:p>
    <w:p w14:paraId="7A7536D2" w14:textId="77777777" w:rsidR="00010EB8" w:rsidRDefault="00010EB8" w:rsidP="00010EB8">
      <w:pPr>
        <w:ind w:firstLine="644"/>
      </w:pPr>
      <w:r>
        <w:t xml:space="preserve">Os painéis são construídos em caixas metálicas, com grau de proteção IP-55, acesso frontal e porta com chave, condições de alarme visíveis, através de display de cristal líquido e </w:t>
      </w:r>
      <w:proofErr w:type="spellStart"/>
      <w:r>
        <w:t>LED's</w:t>
      </w:r>
      <w:proofErr w:type="spellEnd"/>
      <w:r>
        <w:t xml:space="preserve"> de sinalização e alarmes sonoros diferenciados para falha e alarme.</w:t>
      </w:r>
    </w:p>
    <w:p w14:paraId="7DC51584" w14:textId="743FEE1D" w:rsidR="00010EB8" w:rsidRDefault="00010EB8" w:rsidP="00010EB8">
      <w:pPr>
        <w:ind w:firstLine="644"/>
      </w:pPr>
      <w:r>
        <w:t>Os sistemas de detecção e alarme de incêndio possuem as baterias dimensionadas para manter o sistema em funcionamento em regime de supervisão por 24 horas, incluídos neste período, 15 minutos em regime de alarme.</w:t>
      </w:r>
    </w:p>
    <w:p w14:paraId="4921D292" w14:textId="77777777" w:rsidR="004E5134" w:rsidRDefault="004E5134" w:rsidP="004E5134">
      <w:pPr>
        <w:ind w:firstLine="644"/>
      </w:pPr>
      <w:r w:rsidRPr="004E5134">
        <w:t>A periodicidade de manutenção desses equipamentos deve ser respeitada de acordo com o manual técnico.</w:t>
      </w:r>
    </w:p>
    <w:p w14:paraId="539EC991" w14:textId="0DA7A369" w:rsidR="00240C6E" w:rsidRDefault="00240C6E" w:rsidP="00010EB8">
      <w:pPr>
        <w:ind w:firstLine="644"/>
      </w:pPr>
    </w:p>
    <w:p w14:paraId="73349D8D" w14:textId="77777777" w:rsidR="00240C6E" w:rsidRDefault="00240C6E" w:rsidP="00010EB8">
      <w:pPr>
        <w:ind w:firstLine="644"/>
      </w:pPr>
    </w:p>
    <w:p w14:paraId="0E1093BD" w14:textId="77777777" w:rsidR="002F47ED" w:rsidRDefault="002F47ED" w:rsidP="00010EB8">
      <w:pPr>
        <w:ind w:firstLine="644"/>
      </w:pPr>
    </w:p>
    <w:p w14:paraId="0CD75348" w14:textId="77777777" w:rsidR="00010EB8" w:rsidRDefault="00010EB8" w:rsidP="00010EB8"/>
    <w:p w14:paraId="3BA29B0B" w14:textId="77777777" w:rsidR="00010EB8" w:rsidRDefault="00010EB8" w:rsidP="006F082A">
      <w:pPr>
        <w:pStyle w:val="Ttulo1"/>
        <w:numPr>
          <w:ilvl w:val="1"/>
          <w:numId w:val="3"/>
        </w:numPr>
        <w:jc w:val="left"/>
      </w:pPr>
      <w:bookmarkStart w:id="9" w:name="_Toc155527410"/>
      <w:r>
        <w:t>Acionadores Manuais Contra Incêndio</w:t>
      </w:r>
      <w:bookmarkEnd w:id="9"/>
    </w:p>
    <w:p w14:paraId="6822BD13" w14:textId="77777777" w:rsidR="00010EB8" w:rsidRDefault="00010EB8" w:rsidP="00010EB8"/>
    <w:p w14:paraId="17BC7811" w14:textId="77777777" w:rsidR="00010EB8" w:rsidRDefault="00010EB8" w:rsidP="00010EB8">
      <w:r>
        <w:t>O sistema de acionadores manuais contra incêndio, deve atender aos requisitos prescritos na NBR-</w:t>
      </w:r>
      <w:r w:rsidRPr="00702F8E">
        <w:t xml:space="preserve"> </w:t>
      </w:r>
      <w:r>
        <w:t>ABNT NBR 1</w:t>
      </w:r>
      <w:r w:rsidRPr="0067737E">
        <w:t>7240:2010</w:t>
      </w:r>
      <w:r>
        <w:t xml:space="preserve"> – item 5.5</w:t>
      </w:r>
    </w:p>
    <w:p w14:paraId="3456E8D0" w14:textId="77777777" w:rsidR="00010EB8" w:rsidRDefault="00010EB8" w:rsidP="00010EB8"/>
    <w:p w14:paraId="58CFE2F5" w14:textId="547EA8E5" w:rsidR="00010EB8" w:rsidRDefault="00010EB8" w:rsidP="00680480">
      <w:pPr>
        <w:pStyle w:val="PargrafodaLista"/>
        <w:numPr>
          <w:ilvl w:val="0"/>
          <w:numId w:val="17"/>
        </w:numPr>
        <w:jc w:val="both"/>
      </w:pPr>
      <w:r>
        <w:t>Devem ser alojados em carcaça rígida que impeça danos mecânicos ao dispositivo de acionamento;</w:t>
      </w:r>
    </w:p>
    <w:p w14:paraId="2A3F368A" w14:textId="448D2315" w:rsidR="00010EB8" w:rsidRDefault="00010EB8" w:rsidP="00680480">
      <w:pPr>
        <w:pStyle w:val="PargrafodaLista"/>
        <w:numPr>
          <w:ilvl w:val="0"/>
          <w:numId w:val="17"/>
        </w:numPr>
        <w:jc w:val="both"/>
      </w:pPr>
      <w:r>
        <w:t xml:space="preserve">Instalado </w:t>
      </w:r>
      <w:r w:rsidR="001B3073">
        <w:t>a</w:t>
      </w:r>
      <w:r>
        <w:t xml:space="preserve"> pelo menos 0,9m e até 1,35</w:t>
      </w:r>
      <w:r w:rsidR="00240C6E">
        <w:t>m</w:t>
      </w:r>
    </w:p>
    <w:p w14:paraId="0ED8AAEE" w14:textId="0D8FAE17" w:rsidR="00010EB8" w:rsidRDefault="00010EB8" w:rsidP="00010EB8">
      <w:pPr>
        <w:pStyle w:val="PargrafodaLista"/>
        <w:numPr>
          <w:ilvl w:val="0"/>
          <w:numId w:val="17"/>
        </w:numPr>
        <w:jc w:val="both"/>
      </w:pPr>
      <w:r>
        <w:t>Distância máxima percorrida do local de segurança até o acionador manual é de 30</w:t>
      </w:r>
      <w:r w:rsidR="001B3073">
        <w:t>m</w:t>
      </w:r>
    </w:p>
    <w:p w14:paraId="1BC5DC28" w14:textId="35DA87BB" w:rsidR="00010EB8" w:rsidRDefault="00010EB8" w:rsidP="00680480">
      <w:pPr>
        <w:pStyle w:val="PargrafodaLista"/>
        <w:numPr>
          <w:ilvl w:val="0"/>
          <w:numId w:val="17"/>
        </w:numPr>
        <w:jc w:val="both"/>
      </w:pPr>
      <w:r>
        <w:t>Cada pavime</w:t>
      </w:r>
      <w:r w:rsidR="00EF437D">
        <w:t>nto deve possuir pelo menos 1 (</w:t>
      </w:r>
      <w:r>
        <w:t>um) acionador manual</w:t>
      </w:r>
    </w:p>
    <w:p w14:paraId="400BE1BD" w14:textId="2F58B4EA" w:rsidR="00010EB8" w:rsidRDefault="00010EB8" w:rsidP="00680480">
      <w:pPr>
        <w:pStyle w:val="PargrafodaLista"/>
        <w:numPr>
          <w:ilvl w:val="0"/>
          <w:numId w:val="17"/>
        </w:numPr>
        <w:jc w:val="both"/>
      </w:pPr>
      <w:r>
        <w:t>Deve ser da cor Vermelho segurança, embutido ou sobrepor.</w:t>
      </w:r>
    </w:p>
    <w:p w14:paraId="0432D7FC" w14:textId="4A924866" w:rsidR="00010EB8" w:rsidRDefault="00010EB8" w:rsidP="00010EB8">
      <w:pPr>
        <w:pStyle w:val="PargrafodaLista"/>
        <w:numPr>
          <w:ilvl w:val="0"/>
          <w:numId w:val="17"/>
        </w:numPr>
        <w:jc w:val="both"/>
      </w:pPr>
      <w:r>
        <w:t>Devem conter instruções de operação impressas em português no próprio corpo, de forma clara e em lugar facilmente visível após a instalação</w:t>
      </w:r>
    </w:p>
    <w:p w14:paraId="2D949339" w14:textId="77777777" w:rsidR="00010EB8" w:rsidRDefault="00010EB8" w:rsidP="00010EB8">
      <w:pPr>
        <w:pStyle w:val="PargrafodaLista"/>
        <w:numPr>
          <w:ilvl w:val="0"/>
          <w:numId w:val="17"/>
        </w:numPr>
        <w:jc w:val="both"/>
      </w:pPr>
      <w:r>
        <w:t xml:space="preserve">Devem conter dispositivo que dificulte o acionamento acidental, porém facilmente destrutível no caso de operação intencional. </w:t>
      </w:r>
    </w:p>
    <w:p w14:paraId="37E0BFC8" w14:textId="77777777" w:rsidR="00010EB8" w:rsidRDefault="00010EB8" w:rsidP="00010EB8"/>
    <w:p w14:paraId="442A3FD6" w14:textId="77777777" w:rsidR="00010EB8" w:rsidRDefault="00010EB8" w:rsidP="00010EB8">
      <w:r>
        <w:lastRenderedPageBreak/>
        <w:t>NOTA: Devem-se usar adequadamente estes acionadores para não colocar em risco o usuário, no caso de uma possível projeção de estilhaços de vidro.</w:t>
      </w:r>
    </w:p>
    <w:p w14:paraId="23DFC8F7" w14:textId="77777777" w:rsidR="00010EB8" w:rsidRDefault="00010EB8" w:rsidP="00010EB8"/>
    <w:p w14:paraId="779BBB0F" w14:textId="49378EEA" w:rsidR="00010EB8" w:rsidRDefault="00010EB8" w:rsidP="00010EB8">
      <w:pPr>
        <w:pStyle w:val="PargrafodaLista"/>
        <w:numPr>
          <w:ilvl w:val="0"/>
          <w:numId w:val="18"/>
        </w:numPr>
        <w:jc w:val="both"/>
      </w:pPr>
      <w:r>
        <w:t xml:space="preserve">Devem ser de acionamento do tipo </w:t>
      </w:r>
      <w:proofErr w:type="spellStart"/>
      <w:r>
        <w:t>travante</w:t>
      </w:r>
      <w:proofErr w:type="spellEnd"/>
      <w:r>
        <w:t>, permitindo a identificação do acionador operado, e obriga o “reset” do alarme e o recondicionamento do acionador manual do estado de alarme para o de vigia, no local da instalação e não somente por controle remoto desde a central</w:t>
      </w:r>
    </w:p>
    <w:p w14:paraId="2C642D4E" w14:textId="77777777" w:rsidR="00010EB8" w:rsidRDefault="00010EB8" w:rsidP="00010EB8">
      <w:pPr>
        <w:pStyle w:val="PargrafodaLista"/>
        <w:numPr>
          <w:ilvl w:val="0"/>
          <w:numId w:val="18"/>
        </w:numPr>
        <w:jc w:val="both"/>
      </w:pPr>
      <w:r>
        <w:t>Devem ser construídos sem cantos vivos, de tal maneira que não causem nenhuma lesão às pessoas, e a sua fixação na parede deve ser bem segura;</w:t>
      </w:r>
    </w:p>
    <w:p w14:paraId="1A2AD0BF" w14:textId="77777777" w:rsidR="00010EB8" w:rsidRDefault="00010EB8" w:rsidP="00010EB8">
      <w:pPr>
        <w:pStyle w:val="PargrafodaLista"/>
        <w:numPr>
          <w:ilvl w:val="0"/>
          <w:numId w:val="18"/>
        </w:numPr>
        <w:jc w:val="both"/>
      </w:pPr>
      <w:r>
        <w:t>Devem ser instalados nos subsolos na rota de fuga com distâncias não superiores a 30m, conforme locação em projeto.</w:t>
      </w:r>
    </w:p>
    <w:p w14:paraId="7796E6D5" w14:textId="77777777" w:rsidR="00010EB8" w:rsidRDefault="00010EB8" w:rsidP="00010EB8"/>
    <w:p w14:paraId="7322631A" w14:textId="77777777" w:rsidR="00010EB8" w:rsidRPr="00FD07F9" w:rsidRDefault="00010EB8" w:rsidP="006F082A">
      <w:pPr>
        <w:pStyle w:val="PargrafodaLista"/>
        <w:numPr>
          <w:ilvl w:val="1"/>
          <w:numId w:val="3"/>
        </w:numPr>
        <w:jc w:val="both"/>
        <w:rPr>
          <w:rFonts w:eastAsiaTheme="majorEastAsia" w:cstheme="majorBidi"/>
          <w:b/>
          <w:bCs/>
          <w:sz w:val="24"/>
          <w:szCs w:val="28"/>
        </w:rPr>
      </w:pPr>
      <w:proofErr w:type="spellStart"/>
      <w:r w:rsidRPr="00FD07F9">
        <w:rPr>
          <w:rFonts w:eastAsiaTheme="majorEastAsia" w:cstheme="majorBidi"/>
          <w:b/>
          <w:bCs/>
          <w:sz w:val="24"/>
          <w:szCs w:val="28"/>
        </w:rPr>
        <w:t>Avisadores</w:t>
      </w:r>
      <w:proofErr w:type="spellEnd"/>
      <w:r w:rsidRPr="00FD07F9">
        <w:rPr>
          <w:rFonts w:eastAsiaTheme="majorEastAsia" w:cstheme="majorBidi"/>
          <w:b/>
          <w:bCs/>
          <w:sz w:val="24"/>
          <w:szCs w:val="28"/>
        </w:rPr>
        <w:t xml:space="preserve"> </w:t>
      </w:r>
      <w:r>
        <w:rPr>
          <w:rFonts w:eastAsiaTheme="majorEastAsia" w:cstheme="majorBidi"/>
          <w:b/>
          <w:bCs/>
          <w:sz w:val="24"/>
          <w:szCs w:val="28"/>
        </w:rPr>
        <w:t>Sonoros e/ou Visuais</w:t>
      </w:r>
    </w:p>
    <w:p w14:paraId="0940C1AD" w14:textId="77777777" w:rsidR="00010EB8" w:rsidRDefault="00010EB8" w:rsidP="00010EB8"/>
    <w:p w14:paraId="1452CC9D" w14:textId="77777777" w:rsidR="00010EB8" w:rsidRDefault="00010EB8" w:rsidP="00010EB8">
      <w:r>
        <w:t xml:space="preserve">O sistema de </w:t>
      </w:r>
      <w:proofErr w:type="spellStart"/>
      <w:r>
        <w:t>avisadores</w:t>
      </w:r>
      <w:proofErr w:type="spellEnd"/>
      <w:r>
        <w:t xml:space="preserve"> sonoros e/ou visuais contra incêndio, deve atender aos requisitos prescritos na ABNT NBR 1</w:t>
      </w:r>
      <w:r w:rsidRPr="0067737E">
        <w:t>7240:2010</w:t>
      </w:r>
      <w:r>
        <w:t xml:space="preserve"> – item 5.6:</w:t>
      </w:r>
    </w:p>
    <w:p w14:paraId="47805071" w14:textId="77777777" w:rsidR="00010EB8" w:rsidRDefault="00010EB8" w:rsidP="00010EB8"/>
    <w:p w14:paraId="209ADBBD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Devem ter características de audibilidade compatíveis com o ambiente em que estão instalados, de forma a serem ouvidos em qualquer ponto do ambiente em que se encontram, em condições normais de trabalho deste ambiente. Estes dispositivos devem também ser alimentados por fonte ininterrupta e supervisionada, ou de fonte própria e supervisionada;</w:t>
      </w:r>
    </w:p>
    <w:p w14:paraId="6FECAF95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Instalados entre as alturas 2,2m e 3,5m</w:t>
      </w:r>
    </w:p>
    <w:p w14:paraId="6618E3BC" w14:textId="2B6320E3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 xml:space="preserve">Caso o nível sonoro do ambiente seja superior à 105dBA deve ser usado </w:t>
      </w:r>
      <w:proofErr w:type="spellStart"/>
      <w:r>
        <w:t>avisado</w:t>
      </w:r>
      <w:r w:rsidR="00EB4AF4">
        <w:t>r</w:t>
      </w:r>
      <w:proofErr w:type="spellEnd"/>
      <w:r>
        <w:t xml:space="preserve"> visual</w:t>
      </w:r>
    </w:p>
    <w:p w14:paraId="63E57FD5" w14:textId="77777777" w:rsidR="00010EB8" w:rsidRDefault="00010EB8" w:rsidP="00010EB8">
      <w:pPr>
        <w:pStyle w:val="PargrafodaLista"/>
      </w:pPr>
    </w:p>
    <w:p w14:paraId="7665F4BA" w14:textId="77777777" w:rsidR="00010EB8" w:rsidRDefault="00010EB8" w:rsidP="00010EB8"/>
    <w:p w14:paraId="406A886B" w14:textId="77777777" w:rsidR="00010EB8" w:rsidRDefault="00010EB8" w:rsidP="006F082A">
      <w:pPr>
        <w:pStyle w:val="Ttulo1"/>
        <w:numPr>
          <w:ilvl w:val="1"/>
          <w:numId w:val="3"/>
        </w:numPr>
        <w:jc w:val="left"/>
      </w:pPr>
      <w:bookmarkStart w:id="10" w:name="_Toc155527411"/>
      <w:r>
        <w:t>Eletrodutos</w:t>
      </w:r>
      <w:bookmarkEnd w:id="10"/>
      <w:r>
        <w:t xml:space="preserve"> </w:t>
      </w:r>
    </w:p>
    <w:p w14:paraId="52004CA8" w14:textId="77777777" w:rsidR="00010EB8" w:rsidRPr="00A009EB" w:rsidRDefault="00010EB8" w:rsidP="00A009EB"/>
    <w:p w14:paraId="7089B66D" w14:textId="3EACA745" w:rsidR="00010EB8" w:rsidRDefault="00010EB8" w:rsidP="00010EB8">
      <w:r>
        <w:t>A norma determina que:</w:t>
      </w:r>
    </w:p>
    <w:p w14:paraId="6E2854ED" w14:textId="77777777" w:rsidR="00010EB8" w:rsidRPr="00A009EB" w:rsidRDefault="00010EB8" w:rsidP="00010EB8">
      <w:pPr>
        <w:rPr>
          <w:sz w:val="16"/>
          <w:szCs w:val="16"/>
        </w:rPr>
      </w:pPr>
    </w:p>
    <w:p w14:paraId="1C4F0681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Rede de eletrodutos dedicada, exclusiva;</w:t>
      </w:r>
    </w:p>
    <w:p w14:paraId="1EB946D3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Eletrodutos preferencialmente metálicos, aparentes ou embutidos;</w:t>
      </w:r>
    </w:p>
    <w:p w14:paraId="44DEDCD3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Todos os equipamentos, eletrodutos devem ser aterrados junto ao mesmo sistema de aterramento;</w:t>
      </w:r>
    </w:p>
    <w:p w14:paraId="34CA7221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Os eletrodutos devem conter apenas circuitos em 24V;</w:t>
      </w:r>
    </w:p>
    <w:p w14:paraId="55892FE8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 xml:space="preserve">Resistência </w:t>
      </w:r>
      <w:proofErr w:type="spellStart"/>
      <w:r>
        <w:t>Ohmica</w:t>
      </w:r>
      <w:proofErr w:type="spellEnd"/>
      <w:r>
        <w:t xml:space="preserve"> não pode exceder 50ohms;</w:t>
      </w:r>
    </w:p>
    <w:p w14:paraId="0AFFC1E8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Todos os eletrodutos do sistema devem ser identificados com fita vermelha de pelo menos 2cm a cada 3 m;</w:t>
      </w:r>
    </w:p>
    <w:p w14:paraId="10BEA6F8" w14:textId="77777777" w:rsidR="00010EB8" w:rsidRPr="00A009EB" w:rsidRDefault="00010EB8" w:rsidP="00010EB8">
      <w:pPr>
        <w:ind w:left="360"/>
        <w:rPr>
          <w:sz w:val="16"/>
          <w:szCs w:val="16"/>
        </w:rPr>
      </w:pPr>
    </w:p>
    <w:p w14:paraId="7D1828B8" w14:textId="77777777" w:rsidR="00010EB8" w:rsidRDefault="00010EB8" w:rsidP="006F082A">
      <w:pPr>
        <w:pStyle w:val="Ttulo1"/>
        <w:numPr>
          <w:ilvl w:val="1"/>
          <w:numId w:val="3"/>
        </w:numPr>
        <w:jc w:val="left"/>
      </w:pPr>
      <w:bookmarkStart w:id="11" w:name="_Toc155527412"/>
      <w:r>
        <w:lastRenderedPageBreak/>
        <w:t>Condutores</w:t>
      </w:r>
      <w:bookmarkEnd w:id="11"/>
    </w:p>
    <w:p w14:paraId="22DF16A1" w14:textId="77777777" w:rsidR="00010EB8" w:rsidRPr="00A009EB" w:rsidRDefault="00010EB8" w:rsidP="00010EB8">
      <w:pPr>
        <w:rPr>
          <w:sz w:val="16"/>
          <w:szCs w:val="16"/>
        </w:rPr>
      </w:pPr>
    </w:p>
    <w:p w14:paraId="6373D4A9" w14:textId="129A25E6" w:rsidR="00010EB8" w:rsidRDefault="00010EB8" w:rsidP="00010EB8">
      <w:r>
        <w:t>A norma determina que:</w:t>
      </w:r>
    </w:p>
    <w:p w14:paraId="6DB23DBE" w14:textId="77777777" w:rsidR="00010EB8" w:rsidRPr="00A009EB" w:rsidRDefault="00010EB8" w:rsidP="00010EB8">
      <w:pPr>
        <w:rPr>
          <w:sz w:val="16"/>
          <w:szCs w:val="16"/>
        </w:rPr>
      </w:pPr>
    </w:p>
    <w:p w14:paraId="69F7A6DE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Quando estiverem em eletrodutos metálicos, bandejas e perfilados metálicos devidamente aterrados não necessitam de blindagem.</w:t>
      </w:r>
    </w:p>
    <w:p w14:paraId="5CC994CC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Em caso de não estarem em eletrodutos metálicos, devem ser blindados;</w:t>
      </w:r>
    </w:p>
    <w:p w14:paraId="3C5E4381" w14:textId="727BDE4F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 xml:space="preserve">Isolação </w:t>
      </w:r>
      <w:r w:rsidR="00620D49">
        <w:t>antichama</w:t>
      </w:r>
    </w:p>
    <w:p w14:paraId="07508D33" w14:textId="4BAA8D47" w:rsidR="00010EB8" w:rsidRDefault="001B3073" w:rsidP="00010EB8">
      <w:pPr>
        <w:pStyle w:val="PargrafodaLista"/>
        <w:numPr>
          <w:ilvl w:val="0"/>
          <w:numId w:val="19"/>
        </w:numPr>
        <w:jc w:val="both"/>
      </w:pPr>
      <w:r>
        <w:t>Bitola mínima de 1,5</w:t>
      </w:r>
      <w:r w:rsidR="00010EB8">
        <w:t>mm²</w:t>
      </w:r>
    </w:p>
    <w:p w14:paraId="38458F21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Queda de tensão máxima nos circuitos de detecção 5%</w:t>
      </w:r>
    </w:p>
    <w:p w14:paraId="5F90C844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Queda de tensão máxima nos circuitos de alarme e comando é de 10%</w:t>
      </w:r>
    </w:p>
    <w:p w14:paraId="505FCC64" w14:textId="77777777" w:rsidR="00010EB8" w:rsidRDefault="00010EB8" w:rsidP="00010EB8">
      <w:pPr>
        <w:pStyle w:val="PargrafodaLista"/>
        <w:numPr>
          <w:ilvl w:val="0"/>
          <w:numId w:val="19"/>
        </w:numPr>
        <w:jc w:val="both"/>
      </w:pPr>
      <w:r>
        <w:t>Não são permitidas emendas nos cabos</w:t>
      </w:r>
    </w:p>
    <w:p w14:paraId="0863E6D1" w14:textId="1C95128A" w:rsidR="0004764E" w:rsidRPr="00CE0578" w:rsidRDefault="00010EB8" w:rsidP="00CE0578">
      <w:pPr>
        <w:pStyle w:val="PargrafodaLista"/>
        <w:numPr>
          <w:ilvl w:val="0"/>
          <w:numId w:val="19"/>
        </w:numPr>
        <w:jc w:val="both"/>
      </w:pPr>
      <w:r>
        <w:t>Os sistemas de alarme deve</w:t>
      </w:r>
      <w:r w:rsidR="003A1F07">
        <w:t>m</w:t>
      </w:r>
      <w:r>
        <w:t xml:space="preserve"> estar afastados por pelo menos 50cm dos sistemas elétricos</w:t>
      </w:r>
    </w:p>
    <w:p w14:paraId="726C3B3A" w14:textId="77777777" w:rsidR="0004764E" w:rsidRDefault="0004764E" w:rsidP="00010EB8">
      <w:pPr>
        <w:jc w:val="right"/>
        <w:rPr>
          <w:rFonts w:cs="Arial"/>
          <w:b/>
        </w:rPr>
      </w:pPr>
    </w:p>
    <w:p w14:paraId="55E04706" w14:textId="77777777" w:rsidR="005C7935" w:rsidRDefault="005C7935" w:rsidP="00010EB8">
      <w:pPr>
        <w:jc w:val="right"/>
        <w:rPr>
          <w:rFonts w:cs="Arial"/>
          <w:b/>
        </w:rPr>
      </w:pPr>
    </w:p>
    <w:p w14:paraId="77F98B67" w14:textId="77777777" w:rsidR="005C7935" w:rsidRDefault="005C7935" w:rsidP="00010EB8">
      <w:pPr>
        <w:jc w:val="right"/>
        <w:rPr>
          <w:rFonts w:cs="Arial"/>
          <w:b/>
        </w:rPr>
      </w:pPr>
    </w:p>
    <w:p w14:paraId="4E07B7F6" w14:textId="77777777" w:rsidR="005C7935" w:rsidRDefault="005C7935" w:rsidP="00010EB8">
      <w:pPr>
        <w:jc w:val="right"/>
        <w:rPr>
          <w:rFonts w:cs="Arial"/>
          <w:b/>
        </w:rPr>
      </w:pPr>
    </w:p>
    <w:p w14:paraId="5B5599FC" w14:textId="77777777" w:rsidR="005C7935" w:rsidRDefault="005C7935" w:rsidP="00010EB8">
      <w:pPr>
        <w:jc w:val="right"/>
        <w:rPr>
          <w:rFonts w:cs="Arial"/>
          <w:b/>
        </w:rPr>
      </w:pPr>
    </w:p>
    <w:p w14:paraId="13C7FA29" w14:textId="77777777" w:rsidR="005C7935" w:rsidRDefault="005C7935" w:rsidP="00010EB8">
      <w:pPr>
        <w:jc w:val="right"/>
        <w:rPr>
          <w:rFonts w:cs="Arial"/>
          <w:b/>
        </w:rPr>
      </w:pPr>
    </w:p>
    <w:p w14:paraId="6E0ED664" w14:textId="77777777" w:rsidR="005C7935" w:rsidRDefault="005C7935" w:rsidP="00010EB8">
      <w:pPr>
        <w:jc w:val="right"/>
        <w:rPr>
          <w:rFonts w:cs="Arial"/>
          <w:b/>
        </w:rPr>
      </w:pPr>
    </w:p>
    <w:p w14:paraId="1E727D8B" w14:textId="77777777" w:rsidR="005C7935" w:rsidRDefault="005C7935" w:rsidP="00010EB8">
      <w:pPr>
        <w:jc w:val="right"/>
        <w:rPr>
          <w:rFonts w:cs="Arial"/>
          <w:b/>
        </w:rPr>
      </w:pPr>
    </w:p>
    <w:p w14:paraId="219FF1BE" w14:textId="77777777" w:rsidR="005C7935" w:rsidRDefault="005C7935" w:rsidP="00010EB8">
      <w:pPr>
        <w:jc w:val="right"/>
        <w:rPr>
          <w:rFonts w:cs="Arial"/>
          <w:b/>
        </w:rPr>
      </w:pPr>
    </w:p>
    <w:p w14:paraId="0870B03F" w14:textId="77777777" w:rsidR="005C7935" w:rsidRDefault="005C7935" w:rsidP="00010EB8">
      <w:pPr>
        <w:jc w:val="right"/>
        <w:rPr>
          <w:rFonts w:cs="Arial"/>
          <w:b/>
        </w:rPr>
      </w:pPr>
    </w:p>
    <w:p w14:paraId="1D7AD4F2" w14:textId="77777777" w:rsidR="007244B9" w:rsidRDefault="007244B9" w:rsidP="00010EB8">
      <w:pPr>
        <w:jc w:val="right"/>
        <w:rPr>
          <w:rFonts w:cs="Arial"/>
          <w:b/>
        </w:rPr>
      </w:pPr>
    </w:p>
    <w:p w14:paraId="1F516BAC" w14:textId="1C1C1D18" w:rsidR="001B3073" w:rsidRDefault="00010EB8" w:rsidP="00CE0578">
      <w:pPr>
        <w:jc w:val="right"/>
        <w:rPr>
          <w:rFonts w:cs="Arial"/>
          <w:b/>
        </w:rPr>
      </w:pPr>
      <w:r w:rsidRPr="006F6B37">
        <w:rPr>
          <w:rFonts w:cs="Arial"/>
          <w:b/>
        </w:rPr>
        <w:t xml:space="preserve">Goiânia, </w:t>
      </w:r>
      <w:r w:rsidR="00047AB1">
        <w:rPr>
          <w:rFonts w:cs="Arial"/>
          <w:b/>
        </w:rPr>
        <w:t>06</w:t>
      </w:r>
      <w:r>
        <w:rPr>
          <w:rFonts w:cs="Arial"/>
          <w:b/>
        </w:rPr>
        <w:t xml:space="preserve"> </w:t>
      </w:r>
      <w:r w:rsidRPr="006F6B37">
        <w:rPr>
          <w:rFonts w:cs="Arial"/>
          <w:b/>
        </w:rPr>
        <w:t xml:space="preserve">de </w:t>
      </w:r>
      <w:proofErr w:type="gramStart"/>
      <w:r w:rsidR="00047AB1">
        <w:rPr>
          <w:rFonts w:cs="Arial"/>
          <w:b/>
        </w:rPr>
        <w:t>Junho</w:t>
      </w:r>
      <w:proofErr w:type="gramEnd"/>
      <w:r w:rsidRPr="006F6B37">
        <w:rPr>
          <w:rFonts w:cs="Arial"/>
          <w:b/>
        </w:rPr>
        <w:t xml:space="preserve"> de 20</w:t>
      </w:r>
      <w:r w:rsidR="0004764E">
        <w:rPr>
          <w:rFonts w:cs="Arial"/>
          <w:b/>
        </w:rPr>
        <w:t>2</w:t>
      </w:r>
      <w:r w:rsidR="00C708EC">
        <w:rPr>
          <w:rFonts w:cs="Arial"/>
          <w:b/>
        </w:rPr>
        <w:t>5</w:t>
      </w:r>
      <w:r w:rsidRPr="006F6B37">
        <w:rPr>
          <w:rFonts w:cs="Arial"/>
          <w:b/>
        </w:rPr>
        <w:t>.</w:t>
      </w:r>
    </w:p>
    <w:p w14:paraId="08BC9B0B" w14:textId="77777777" w:rsidR="00CE0578" w:rsidRPr="00CE0578" w:rsidRDefault="00CE0578" w:rsidP="00047AB1">
      <w:pPr>
        <w:jc w:val="center"/>
        <w:rPr>
          <w:rFonts w:cs="Arial"/>
          <w:b/>
        </w:rPr>
      </w:pPr>
    </w:p>
    <w:p w14:paraId="194A9A91" w14:textId="500F6ACA" w:rsidR="00010EB8" w:rsidRPr="00E21EB6" w:rsidRDefault="00010EB8" w:rsidP="00047AB1">
      <w:pPr>
        <w:jc w:val="center"/>
        <w:rPr>
          <w:rFonts w:cs="Arial"/>
          <w:b/>
        </w:rPr>
      </w:pPr>
      <w:r w:rsidRPr="00E21EB6">
        <w:rPr>
          <w:rFonts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99F64B" wp14:editId="2B37F4FD">
                <wp:simplePos x="0" y="0"/>
                <wp:positionH relativeFrom="column">
                  <wp:posOffset>1260211</wp:posOffset>
                </wp:positionH>
                <wp:positionV relativeFrom="paragraph">
                  <wp:posOffset>152400</wp:posOffset>
                </wp:positionV>
                <wp:extent cx="3017520" cy="0"/>
                <wp:effectExtent l="0" t="0" r="0" b="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5BE0F" id="Conector re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2pt" to="336.8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0i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" o:allowincell="f"/>
            </w:pict>
          </mc:Fallback>
        </mc:AlternateContent>
      </w:r>
    </w:p>
    <w:p w14:paraId="5E186A0A" w14:textId="33375F12" w:rsidR="00010EB8" w:rsidRPr="00E21EB6" w:rsidRDefault="00010EB8" w:rsidP="00047AB1">
      <w:pPr>
        <w:jc w:val="center"/>
        <w:rPr>
          <w:rFonts w:cs="Arial"/>
          <w:b/>
        </w:rPr>
      </w:pPr>
      <w:r>
        <w:rPr>
          <w:rFonts w:cs="Arial"/>
          <w:b/>
        </w:rPr>
        <w:t>Eng.</w:t>
      </w:r>
      <w:r w:rsidRPr="00E21EB6">
        <w:rPr>
          <w:rFonts w:cs="Arial"/>
          <w:b/>
        </w:rPr>
        <w:t xml:space="preserve"> </w:t>
      </w:r>
      <w:r>
        <w:rPr>
          <w:rFonts w:cs="Arial"/>
          <w:b/>
        </w:rPr>
        <w:t>Jorge Luiz Rodrigues da Silva</w:t>
      </w:r>
    </w:p>
    <w:p w14:paraId="69A8F8C4" w14:textId="6E470496" w:rsidR="00010EB8" w:rsidRPr="00047AB1" w:rsidRDefault="00010EB8" w:rsidP="00047AB1">
      <w:pPr>
        <w:jc w:val="center"/>
        <w:rPr>
          <w:rFonts w:cs="Arial"/>
          <w:b/>
        </w:rPr>
      </w:pPr>
      <w:r w:rsidRPr="00047AB1">
        <w:rPr>
          <w:rFonts w:cs="Arial"/>
          <w:b/>
        </w:rPr>
        <w:t>CREA-GO – 20372/D-GO</w:t>
      </w:r>
    </w:p>
    <w:p w14:paraId="125C7011" w14:textId="77777777" w:rsidR="00010EB8" w:rsidRPr="00E21EB6" w:rsidRDefault="00010EB8" w:rsidP="00010EB8">
      <w:pPr>
        <w:jc w:val="center"/>
        <w:rPr>
          <w:rFonts w:cs="Arial"/>
          <w:b/>
        </w:rPr>
      </w:pPr>
      <w:r w:rsidRPr="00E21EB6">
        <w:rPr>
          <w:rFonts w:cs="Arial"/>
          <w:b/>
        </w:rPr>
        <w:t>Autor do Projeto</w:t>
      </w:r>
    </w:p>
    <w:sectPr w:rsidR="00010EB8" w:rsidRPr="00E21EB6" w:rsidSect="00D85C83">
      <w:headerReference w:type="default" r:id="rId9"/>
      <w:footerReference w:type="default" r:id="rId10"/>
      <w:pgSz w:w="11906" w:h="16838"/>
      <w:pgMar w:top="1417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F873E" w14:textId="77777777" w:rsidR="000636EC" w:rsidRDefault="000636EC" w:rsidP="00B81C36">
      <w:pPr>
        <w:spacing w:line="240" w:lineRule="auto"/>
      </w:pPr>
      <w:r>
        <w:separator/>
      </w:r>
    </w:p>
  </w:endnote>
  <w:endnote w:type="continuationSeparator" w:id="0">
    <w:p w14:paraId="14DCEC25" w14:textId="77777777" w:rsidR="000636EC" w:rsidRDefault="000636EC" w:rsidP="00B81C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metr415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Geometr415 Lt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metr23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Ebrima" w:hAnsi="Ebrima"/>
        <w:b/>
        <w:sz w:val="18"/>
      </w:rPr>
      <w:id w:val="573637755"/>
      <w:docPartObj>
        <w:docPartGallery w:val="Page Numbers (Bottom of Page)"/>
        <w:docPartUnique/>
      </w:docPartObj>
    </w:sdtPr>
    <w:sdtContent>
      <w:p w14:paraId="02AD2535" w14:textId="77777777" w:rsidR="00513BBF" w:rsidRPr="00554605" w:rsidRDefault="00513BBF">
        <w:pPr>
          <w:pStyle w:val="Rodap"/>
          <w:jc w:val="right"/>
          <w:rPr>
            <w:rFonts w:ascii="Ebrima" w:hAnsi="Ebrima"/>
            <w:b/>
            <w:sz w:val="18"/>
          </w:rPr>
        </w:pPr>
        <w:r w:rsidRPr="00554605">
          <w:rPr>
            <w:rFonts w:ascii="Ebrima" w:hAnsi="Ebrima"/>
            <w:b/>
            <w:sz w:val="18"/>
          </w:rPr>
          <w:fldChar w:fldCharType="begin"/>
        </w:r>
        <w:r w:rsidRPr="00554605">
          <w:rPr>
            <w:rFonts w:ascii="Ebrima" w:hAnsi="Ebrima"/>
            <w:b/>
            <w:sz w:val="18"/>
          </w:rPr>
          <w:instrText>PAGE   \* MERGEFORMAT</w:instrText>
        </w:r>
        <w:r w:rsidRPr="00554605">
          <w:rPr>
            <w:rFonts w:ascii="Ebrima" w:hAnsi="Ebrima"/>
            <w:b/>
            <w:sz w:val="18"/>
          </w:rPr>
          <w:fldChar w:fldCharType="separate"/>
        </w:r>
        <w:r w:rsidR="00A009EB">
          <w:rPr>
            <w:rFonts w:ascii="Ebrima" w:hAnsi="Ebrima"/>
            <w:b/>
            <w:noProof/>
            <w:sz w:val="18"/>
          </w:rPr>
          <w:t>5</w:t>
        </w:r>
        <w:r w:rsidRPr="00554605">
          <w:rPr>
            <w:rFonts w:ascii="Ebrima" w:hAnsi="Ebrima"/>
            <w:b/>
            <w:sz w:val="18"/>
          </w:rPr>
          <w:fldChar w:fldCharType="end"/>
        </w:r>
      </w:p>
    </w:sdtContent>
  </w:sdt>
  <w:p w14:paraId="4779192D" w14:textId="77777777" w:rsidR="00513BBF" w:rsidRDefault="00513BB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D8E77" w14:textId="77777777" w:rsidR="000636EC" w:rsidRDefault="000636EC" w:rsidP="00B81C36">
      <w:pPr>
        <w:spacing w:line="240" w:lineRule="auto"/>
      </w:pPr>
      <w:r>
        <w:separator/>
      </w:r>
    </w:p>
  </w:footnote>
  <w:footnote w:type="continuationSeparator" w:id="0">
    <w:p w14:paraId="3BF8FDE0" w14:textId="77777777" w:rsidR="000636EC" w:rsidRDefault="000636EC" w:rsidP="00B81C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72589" w14:textId="77777777" w:rsidR="00513BBF" w:rsidRPr="00B81C36" w:rsidRDefault="00513BBF" w:rsidP="00704586">
    <w:pPr>
      <w:pStyle w:val="Cabealho"/>
      <w:spacing w:line="276" w:lineRule="auto"/>
      <w:jc w:val="right"/>
      <w:rPr>
        <w:rFonts w:ascii="Ebrima" w:hAnsi="Ebrima"/>
        <w:color w:val="595959" w:themeColor="text1" w:themeTint="A6"/>
      </w:rPr>
    </w:pPr>
    <w:r>
      <w:rPr>
        <w:rFonts w:ascii="Ebrima" w:hAnsi="Ebrima"/>
        <w:b/>
        <w:noProof/>
        <w:color w:val="00B050"/>
        <w:sz w:val="24"/>
        <w:lang w:eastAsia="pt-BR"/>
      </w:rPr>
      <w:drawing>
        <wp:anchor distT="0" distB="0" distL="114300" distR="114300" simplePos="0" relativeHeight="251659264" behindDoc="0" locked="0" layoutInCell="1" allowOverlap="1" wp14:anchorId="1CCEA1E1" wp14:editId="3E24F8C6">
          <wp:simplePos x="0" y="0"/>
          <wp:positionH relativeFrom="margin">
            <wp:posOffset>-601980</wp:posOffset>
          </wp:positionH>
          <wp:positionV relativeFrom="margin">
            <wp:posOffset>-749935</wp:posOffset>
          </wp:positionV>
          <wp:extent cx="1372235" cy="456565"/>
          <wp:effectExtent l="0" t="0" r="0" b="635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V - Logomarca PNG (Simples) - EMA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23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1C36">
      <w:rPr>
        <w:rFonts w:ascii="Ebrima" w:hAnsi="Ebrima"/>
        <w:color w:val="595959" w:themeColor="text1" w:themeTint="A6"/>
      </w:rPr>
      <w:t>w</w:t>
    </w:r>
    <w:r>
      <w:rPr>
        <w:rFonts w:ascii="Ebrima" w:hAnsi="Ebrima"/>
        <w:color w:val="595959" w:themeColor="text1" w:themeTint="A6"/>
      </w:rPr>
      <w:t>w</w:t>
    </w:r>
    <w:r w:rsidRPr="00B81C36">
      <w:rPr>
        <w:rFonts w:ascii="Ebrima" w:hAnsi="Ebrima"/>
        <w:color w:val="595959" w:themeColor="text1" w:themeTint="A6"/>
      </w:rPr>
      <w:t>w.mol-engenharia.com.br</w:t>
    </w:r>
  </w:p>
  <w:p w14:paraId="5B57DED2" w14:textId="203B65FC" w:rsidR="00513BBF" w:rsidRDefault="00513BBF" w:rsidP="00704586">
    <w:pPr>
      <w:pStyle w:val="Cabealho"/>
      <w:spacing w:line="276" w:lineRule="auto"/>
      <w:jc w:val="right"/>
      <w:rPr>
        <w:rFonts w:ascii="Ebrima" w:hAnsi="Ebrima"/>
        <w:b/>
        <w:color w:val="595959" w:themeColor="text1" w:themeTint="A6"/>
      </w:rPr>
    </w:pPr>
    <w:r w:rsidRPr="00B81C36">
      <w:rPr>
        <w:rFonts w:ascii="Ebrima" w:hAnsi="Ebrima"/>
        <w:b/>
        <w:color w:val="595959" w:themeColor="text1" w:themeTint="A6"/>
      </w:rPr>
      <w:t xml:space="preserve">62 </w:t>
    </w:r>
    <w:r w:rsidR="005F739D">
      <w:rPr>
        <w:rFonts w:ascii="Ebrima" w:hAnsi="Ebrima"/>
        <w:b/>
        <w:color w:val="595959" w:themeColor="text1" w:themeTint="A6"/>
      </w:rPr>
      <w:t>3921 3776</w:t>
    </w:r>
  </w:p>
  <w:p w14:paraId="550C0743" w14:textId="77777777" w:rsidR="00513BBF" w:rsidRDefault="00513BBF" w:rsidP="00B81C36">
    <w:pPr>
      <w:pStyle w:val="Cabealho"/>
      <w:spacing w:line="276" w:lineRule="auto"/>
      <w:jc w:val="right"/>
      <w:rPr>
        <w:rFonts w:ascii="Ebrima" w:hAnsi="Ebrima"/>
        <w:b/>
        <w:color w:val="595959" w:themeColor="text1" w:themeTint="A6"/>
      </w:rPr>
    </w:pPr>
  </w:p>
  <w:p w14:paraId="497F8189" w14:textId="77777777" w:rsidR="00513BBF" w:rsidRPr="00B81C36" w:rsidRDefault="00513BBF" w:rsidP="00B81C36">
    <w:pPr>
      <w:pStyle w:val="Cabealho"/>
      <w:spacing w:line="276" w:lineRule="auto"/>
      <w:jc w:val="right"/>
      <w:rPr>
        <w:rFonts w:ascii="Ebrima" w:hAnsi="Ebrima"/>
        <w:b/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7798"/>
    <w:multiLevelType w:val="hybridMultilevel"/>
    <w:tmpl w:val="B114DC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26138"/>
    <w:multiLevelType w:val="hybridMultilevel"/>
    <w:tmpl w:val="FFA2B6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F2155"/>
    <w:multiLevelType w:val="hybridMultilevel"/>
    <w:tmpl w:val="CBAAAD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B6F68"/>
    <w:multiLevelType w:val="hybridMultilevel"/>
    <w:tmpl w:val="6C7C367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B471736"/>
    <w:multiLevelType w:val="hybridMultilevel"/>
    <w:tmpl w:val="452AF1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16DFB"/>
    <w:multiLevelType w:val="hybridMultilevel"/>
    <w:tmpl w:val="45F2EC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51603"/>
    <w:multiLevelType w:val="multilevel"/>
    <w:tmpl w:val="EA92A4B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4EF149D"/>
    <w:multiLevelType w:val="hybridMultilevel"/>
    <w:tmpl w:val="E968F8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E5898"/>
    <w:multiLevelType w:val="hybridMultilevel"/>
    <w:tmpl w:val="21AAB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81825"/>
    <w:multiLevelType w:val="hybridMultilevel"/>
    <w:tmpl w:val="E8440D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D64AF"/>
    <w:multiLevelType w:val="multilevel"/>
    <w:tmpl w:val="80745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66A1592"/>
    <w:multiLevelType w:val="hybridMultilevel"/>
    <w:tmpl w:val="E05006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224A6"/>
    <w:multiLevelType w:val="hybridMultilevel"/>
    <w:tmpl w:val="36EA34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00E46"/>
    <w:multiLevelType w:val="hybridMultilevel"/>
    <w:tmpl w:val="8124C7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944CD"/>
    <w:multiLevelType w:val="hybridMultilevel"/>
    <w:tmpl w:val="8438E4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1C0F"/>
    <w:multiLevelType w:val="hybridMultilevel"/>
    <w:tmpl w:val="515001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879C3"/>
    <w:multiLevelType w:val="hybridMultilevel"/>
    <w:tmpl w:val="183E40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52E4E"/>
    <w:multiLevelType w:val="hybridMultilevel"/>
    <w:tmpl w:val="392EFF9A"/>
    <w:lvl w:ilvl="0" w:tplc="78C6C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30E95"/>
    <w:multiLevelType w:val="hybridMultilevel"/>
    <w:tmpl w:val="4BC88F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334621">
    <w:abstractNumId w:val="5"/>
  </w:num>
  <w:num w:numId="2" w16cid:durableId="610556930">
    <w:abstractNumId w:val="11"/>
  </w:num>
  <w:num w:numId="3" w16cid:durableId="1805927918">
    <w:abstractNumId w:val="6"/>
  </w:num>
  <w:num w:numId="4" w16cid:durableId="983662186">
    <w:abstractNumId w:val="3"/>
  </w:num>
  <w:num w:numId="5" w16cid:durableId="269357601">
    <w:abstractNumId w:val="16"/>
  </w:num>
  <w:num w:numId="6" w16cid:durableId="98960145">
    <w:abstractNumId w:val="14"/>
  </w:num>
  <w:num w:numId="7" w16cid:durableId="1494762225">
    <w:abstractNumId w:val="2"/>
  </w:num>
  <w:num w:numId="8" w16cid:durableId="22902217">
    <w:abstractNumId w:val="12"/>
  </w:num>
  <w:num w:numId="9" w16cid:durableId="2038002564">
    <w:abstractNumId w:val="15"/>
  </w:num>
  <w:num w:numId="10" w16cid:durableId="2014263806">
    <w:abstractNumId w:val="1"/>
  </w:num>
  <w:num w:numId="11" w16cid:durableId="759839844">
    <w:abstractNumId w:val="18"/>
  </w:num>
  <w:num w:numId="12" w16cid:durableId="1461264037">
    <w:abstractNumId w:val="7"/>
  </w:num>
  <w:num w:numId="13" w16cid:durableId="478956652">
    <w:abstractNumId w:val="0"/>
  </w:num>
  <w:num w:numId="14" w16cid:durableId="165436574">
    <w:abstractNumId w:val="17"/>
  </w:num>
  <w:num w:numId="15" w16cid:durableId="1427917262">
    <w:abstractNumId w:val="10"/>
  </w:num>
  <w:num w:numId="16" w16cid:durableId="1352335734">
    <w:abstractNumId w:val="9"/>
  </w:num>
  <w:num w:numId="17" w16cid:durableId="1830244924">
    <w:abstractNumId w:val="4"/>
  </w:num>
  <w:num w:numId="18" w16cid:durableId="2037804086">
    <w:abstractNumId w:val="13"/>
  </w:num>
  <w:num w:numId="19" w16cid:durableId="1287878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C36"/>
    <w:rsid w:val="00010EB8"/>
    <w:rsid w:val="00011322"/>
    <w:rsid w:val="00015E70"/>
    <w:rsid w:val="00021AEF"/>
    <w:rsid w:val="00027A0D"/>
    <w:rsid w:val="0004764E"/>
    <w:rsid w:val="00047AB1"/>
    <w:rsid w:val="000636EC"/>
    <w:rsid w:val="000718F8"/>
    <w:rsid w:val="00075630"/>
    <w:rsid w:val="000B34F6"/>
    <w:rsid w:val="000F3A02"/>
    <w:rsid w:val="00117ADF"/>
    <w:rsid w:val="00121196"/>
    <w:rsid w:val="00123B62"/>
    <w:rsid w:val="00131382"/>
    <w:rsid w:val="00136539"/>
    <w:rsid w:val="0016185B"/>
    <w:rsid w:val="001769B3"/>
    <w:rsid w:val="00185A72"/>
    <w:rsid w:val="001911D3"/>
    <w:rsid w:val="00196FA7"/>
    <w:rsid w:val="001A0BB8"/>
    <w:rsid w:val="001A42BF"/>
    <w:rsid w:val="001B3073"/>
    <w:rsid w:val="001B717C"/>
    <w:rsid w:val="001C3CD9"/>
    <w:rsid w:val="001C6D6C"/>
    <w:rsid w:val="001D046E"/>
    <w:rsid w:val="001D798C"/>
    <w:rsid w:val="001E0D42"/>
    <w:rsid w:val="0020335A"/>
    <w:rsid w:val="00223C25"/>
    <w:rsid w:val="00240C6E"/>
    <w:rsid w:val="0024608A"/>
    <w:rsid w:val="00247E12"/>
    <w:rsid w:val="00254904"/>
    <w:rsid w:val="00275EB4"/>
    <w:rsid w:val="00276D1B"/>
    <w:rsid w:val="00276D35"/>
    <w:rsid w:val="00281B29"/>
    <w:rsid w:val="002851BB"/>
    <w:rsid w:val="002B4D30"/>
    <w:rsid w:val="002D5D23"/>
    <w:rsid w:val="002E5955"/>
    <w:rsid w:val="002F1701"/>
    <w:rsid w:val="002F2CFF"/>
    <w:rsid w:val="002F430D"/>
    <w:rsid w:val="002F47ED"/>
    <w:rsid w:val="00306037"/>
    <w:rsid w:val="0031640E"/>
    <w:rsid w:val="00327EDA"/>
    <w:rsid w:val="0033257D"/>
    <w:rsid w:val="00333B31"/>
    <w:rsid w:val="003757E5"/>
    <w:rsid w:val="003777A0"/>
    <w:rsid w:val="00385029"/>
    <w:rsid w:val="003A1F07"/>
    <w:rsid w:val="003B6802"/>
    <w:rsid w:val="003B7D0F"/>
    <w:rsid w:val="003E5723"/>
    <w:rsid w:val="003F125D"/>
    <w:rsid w:val="003F60C1"/>
    <w:rsid w:val="004102A4"/>
    <w:rsid w:val="004221B4"/>
    <w:rsid w:val="00424D36"/>
    <w:rsid w:val="0043514B"/>
    <w:rsid w:val="00445EAF"/>
    <w:rsid w:val="004635D3"/>
    <w:rsid w:val="004679CC"/>
    <w:rsid w:val="00471D88"/>
    <w:rsid w:val="00493368"/>
    <w:rsid w:val="004A2B08"/>
    <w:rsid w:val="004C2445"/>
    <w:rsid w:val="004C2823"/>
    <w:rsid w:val="004D3FD0"/>
    <w:rsid w:val="004D6262"/>
    <w:rsid w:val="004E5134"/>
    <w:rsid w:val="00512AFB"/>
    <w:rsid w:val="00513BBF"/>
    <w:rsid w:val="00517BBB"/>
    <w:rsid w:val="0052421D"/>
    <w:rsid w:val="0054792A"/>
    <w:rsid w:val="00554605"/>
    <w:rsid w:val="00581EC9"/>
    <w:rsid w:val="00584224"/>
    <w:rsid w:val="00594598"/>
    <w:rsid w:val="005A57B7"/>
    <w:rsid w:val="005A6DE3"/>
    <w:rsid w:val="005B04A3"/>
    <w:rsid w:val="005C3643"/>
    <w:rsid w:val="005C4C92"/>
    <w:rsid w:val="005C7935"/>
    <w:rsid w:val="005C7A83"/>
    <w:rsid w:val="005D1E71"/>
    <w:rsid w:val="005D6D14"/>
    <w:rsid w:val="005F739D"/>
    <w:rsid w:val="005F7AA0"/>
    <w:rsid w:val="0060684A"/>
    <w:rsid w:val="0061552D"/>
    <w:rsid w:val="00620D49"/>
    <w:rsid w:val="00624612"/>
    <w:rsid w:val="006346DE"/>
    <w:rsid w:val="006406DD"/>
    <w:rsid w:val="00645608"/>
    <w:rsid w:val="006561FF"/>
    <w:rsid w:val="0067472D"/>
    <w:rsid w:val="00680480"/>
    <w:rsid w:val="00683813"/>
    <w:rsid w:val="006843F4"/>
    <w:rsid w:val="006A100B"/>
    <w:rsid w:val="006A1F3B"/>
    <w:rsid w:val="006A5E8D"/>
    <w:rsid w:val="006A66E1"/>
    <w:rsid w:val="006B3AC0"/>
    <w:rsid w:val="006C7258"/>
    <w:rsid w:val="006D2331"/>
    <w:rsid w:val="006D3988"/>
    <w:rsid w:val="006D51F4"/>
    <w:rsid w:val="006E1E55"/>
    <w:rsid w:val="006E6597"/>
    <w:rsid w:val="006F082A"/>
    <w:rsid w:val="006F6B37"/>
    <w:rsid w:val="00704586"/>
    <w:rsid w:val="0071633E"/>
    <w:rsid w:val="007244B9"/>
    <w:rsid w:val="007525B2"/>
    <w:rsid w:val="00754EE3"/>
    <w:rsid w:val="00756338"/>
    <w:rsid w:val="00764A22"/>
    <w:rsid w:val="00771174"/>
    <w:rsid w:val="00782A20"/>
    <w:rsid w:val="00790BB1"/>
    <w:rsid w:val="00792FAB"/>
    <w:rsid w:val="00792FCF"/>
    <w:rsid w:val="007971BA"/>
    <w:rsid w:val="007C4D4C"/>
    <w:rsid w:val="007E0293"/>
    <w:rsid w:val="007E0B14"/>
    <w:rsid w:val="007E5302"/>
    <w:rsid w:val="0080373B"/>
    <w:rsid w:val="00804F0B"/>
    <w:rsid w:val="00807761"/>
    <w:rsid w:val="0081658F"/>
    <w:rsid w:val="00825DBE"/>
    <w:rsid w:val="0083259A"/>
    <w:rsid w:val="00833BDD"/>
    <w:rsid w:val="008353E1"/>
    <w:rsid w:val="008419C3"/>
    <w:rsid w:val="00886515"/>
    <w:rsid w:val="008A041F"/>
    <w:rsid w:val="008A7C0B"/>
    <w:rsid w:val="008B7B06"/>
    <w:rsid w:val="008D3B0B"/>
    <w:rsid w:val="008F2889"/>
    <w:rsid w:val="00905C49"/>
    <w:rsid w:val="00913668"/>
    <w:rsid w:val="009305D1"/>
    <w:rsid w:val="00931C3B"/>
    <w:rsid w:val="0093789F"/>
    <w:rsid w:val="009877CB"/>
    <w:rsid w:val="009977F1"/>
    <w:rsid w:val="009A7A02"/>
    <w:rsid w:val="009B4F40"/>
    <w:rsid w:val="009E6B89"/>
    <w:rsid w:val="009F16DE"/>
    <w:rsid w:val="009F1C35"/>
    <w:rsid w:val="009F24E3"/>
    <w:rsid w:val="009F24E6"/>
    <w:rsid w:val="00A009EB"/>
    <w:rsid w:val="00A01DA4"/>
    <w:rsid w:val="00A1151C"/>
    <w:rsid w:val="00A121A1"/>
    <w:rsid w:val="00A14621"/>
    <w:rsid w:val="00A21AE3"/>
    <w:rsid w:val="00A24B21"/>
    <w:rsid w:val="00A322EF"/>
    <w:rsid w:val="00A35A3C"/>
    <w:rsid w:val="00A43189"/>
    <w:rsid w:val="00A43EBD"/>
    <w:rsid w:val="00A46AFB"/>
    <w:rsid w:val="00A50204"/>
    <w:rsid w:val="00A51BCA"/>
    <w:rsid w:val="00A76AEC"/>
    <w:rsid w:val="00A9255D"/>
    <w:rsid w:val="00A939FF"/>
    <w:rsid w:val="00A94909"/>
    <w:rsid w:val="00AA3E3E"/>
    <w:rsid w:val="00AC38B9"/>
    <w:rsid w:val="00AC5654"/>
    <w:rsid w:val="00AD00CA"/>
    <w:rsid w:val="00AD615E"/>
    <w:rsid w:val="00AD778B"/>
    <w:rsid w:val="00AE42FB"/>
    <w:rsid w:val="00AE4A0B"/>
    <w:rsid w:val="00AE5226"/>
    <w:rsid w:val="00AE60F8"/>
    <w:rsid w:val="00B23155"/>
    <w:rsid w:val="00B3532D"/>
    <w:rsid w:val="00B4454B"/>
    <w:rsid w:val="00B665B7"/>
    <w:rsid w:val="00B81C36"/>
    <w:rsid w:val="00BA2C34"/>
    <w:rsid w:val="00BA63D1"/>
    <w:rsid w:val="00BB2473"/>
    <w:rsid w:val="00BB58DA"/>
    <w:rsid w:val="00BE11F7"/>
    <w:rsid w:val="00BF633E"/>
    <w:rsid w:val="00BF75F5"/>
    <w:rsid w:val="00C045C2"/>
    <w:rsid w:val="00C04E88"/>
    <w:rsid w:val="00C071C2"/>
    <w:rsid w:val="00C14E4D"/>
    <w:rsid w:val="00C223CC"/>
    <w:rsid w:val="00C247EE"/>
    <w:rsid w:val="00C3077D"/>
    <w:rsid w:val="00C51D6E"/>
    <w:rsid w:val="00C53847"/>
    <w:rsid w:val="00C54775"/>
    <w:rsid w:val="00C576B6"/>
    <w:rsid w:val="00C708EC"/>
    <w:rsid w:val="00C82BEB"/>
    <w:rsid w:val="00C936AF"/>
    <w:rsid w:val="00C97DEA"/>
    <w:rsid w:val="00CA37E1"/>
    <w:rsid w:val="00CA44A4"/>
    <w:rsid w:val="00CB1B5C"/>
    <w:rsid w:val="00CB5A83"/>
    <w:rsid w:val="00CE0578"/>
    <w:rsid w:val="00CF2DAC"/>
    <w:rsid w:val="00CF3C28"/>
    <w:rsid w:val="00D004FB"/>
    <w:rsid w:val="00D24235"/>
    <w:rsid w:val="00D349FD"/>
    <w:rsid w:val="00D45199"/>
    <w:rsid w:val="00D54AEB"/>
    <w:rsid w:val="00D85C83"/>
    <w:rsid w:val="00D96D5C"/>
    <w:rsid w:val="00DC5EB0"/>
    <w:rsid w:val="00DD120D"/>
    <w:rsid w:val="00DD6120"/>
    <w:rsid w:val="00DE3D26"/>
    <w:rsid w:val="00DF7458"/>
    <w:rsid w:val="00E174AE"/>
    <w:rsid w:val="00E23A37"/>
    <w:rsid w:val="00E32BCC"/>
    <w:rsid w:val="00E464C6"/>
    <w:rsid w:val="00E613F0"/>
    <w:rsid w:val="00E67C62"/>
    <w:rsid w:val="00E7041A"/>
    <w:rsid w:val="00E877E3"/>
    <w:rsid w:val="00E90B1E"/>
    <w:rsid w:val="00E92588"/>
    <w:rsid w:val="00E976AA"/>
    <w:rsid w:val="00EA0CCE"/>
    <w:rsid w:val="00EB4AF4"/>
    <w:rsid w:val="00EB7252"/>
    <w:rsid w:val="00EB7A3B"/>
    <w:rsid w:val="00EF437D"/>
    <w:rsid w:val="00F033A3"/>
    <w:rsid w:val="00F11192"/>
    <w:rsid w:val="00F15D89"/>
    <w:rsid w:val="00F334EC"/>
    <w:rsid w:val="00F53D23"/>
    <w:rsid w:val="00F552D2"/>
    <w:rsid w:val="00F6173A"/>
    <w:rsid w:val="00F66782"/>
    <w:rsid w:val="00F75120"/>
    <w:rsid w:val="00F7637F"/>
    <w:rsid w:val="00F84433"/>
    <w:rsid w:val="00F8669E"/>
    <w:rsid w:val="00F87817"/>
    <w:rsid w:val="00F93894"/>
    <w:rsid w:val="00FA28FD"/>
    <w:rsid w:val="00FC17A2"/>
    <w:rsid w:val="00FD79A7"/>
    <w:rsid w:val="00FE2C99"/>
    <w:rsid w:val="00FE35BF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0986A"/>
  <w15:docId w15:val="{FA68E992-431C-417F-B2F6-54495976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C36"/>
    <w:pPr>
      <w:spacing w:after="0" w:line="360" w:lineRule="auto"/>
      <w:jc w:val="both"/>
    </w:pPr>
    <w:rPr>
      <w:rFonts w:ascii="Trebuchet MS" w:hAnsi="Trebuchet MS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2D5D23"/>
    <w:pPr>
      <w:keepNext/>
      <w:keepLines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D5D23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81EC9"/>
    <w:pPr>
      <w:keepNext/>
      <w:keepLines/>
      <w:outlineLvl w:val="2"/>
    </w:pPr>
    <w:rPr>
      <w:rFonts w:ascii="Geometr415 Md BT" w:eastAsiaTheme="majorEastAsia" w:hAnsi="Geometr415 Md BT" w:cstheme="majorBidi"/>
      <w:bCs/>
      <w:sz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81EC9"/>
    <w:pPr>
      <w:keepNext/>
      <w:keepLines/>
      <w:outlineLvl w:val="3"/>
    </w:pPr>
    <w:rPr>
      <w:rFonts w:ascii="Geometr415 Md BT" w:eastAsiaTheme="majorEastAsia" w:hAnsi="Geometr415 Md BT" w:cstheme="majorBidi"/>
      <w:bCs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D5D23"/>
    <w:rPr>
      <w:rFonts w:ascii="Trebuchet MS" w:eastAsiaTheme="majorEastAsia" w:hAnsi="Trebuchet MS" w:cstheme="majorBidi"/>
      <w:b/>
      <w:bCs/>
      <w:sz w:val="20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2D5D23"/>
    <w:rPr>
      <w:rFonts w:ascii="Trebuchet MS" w:eastAsiaTheme="majorEastAsia" w:hAnsi="Trebuchet MS" w:cstheme="majorBidi"/>
      <w:b/>
      <w:bCs/>
      <w:sz w:val="24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B81C36"/>
    <w:pPr>
      <w:pBdr>
        <w:bottom w:val="single" w:sz="8" w:space="4" w:color="4F81BD" w:themeColor="accent1"/>
      </w:pBdr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B81C36"/>
    <w:rPr>
      <w:rFonts w:ascii="Trebuchet MS" w:eastAsiaTheme="majorEastAsia" w:hAnsi="Trebuchet MS" w:cstheme="majorBidi"/>
      <w:spacing w:val="5"/>
      <w:kern w:val="28"/>
      <w:sz w:val="24"/>
      <w:szCs w:val="5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81EC9"/>
    <w:rPr>
      <w:rFonts w:ascii="Geometr415 Md BT" w:eastAsiaTheme="majorEastAsia" w:hAnsi="Geometr415 Md BT" w:cstheme="majorBidi"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81EC9"/>
    <w:rPr>
      <w:rFonts w:ascii="Geometr415 Md BT" w:eastAsiaTheme="majorEastAsia" w:hAnsi="Geometr415 Md BT" w:cstheme="majorBidi"/>
      <w:bCs/>
      <w:iCs/>
      <w:sz w:val="24"/>
    </w:rPr>
  </w:style>
  <w:style w:type="paragraph" w:styleId="Cabealho">
    <w:name w:val="header"/>
    <w:basedOn w:val="Normal"/>
    <w:link w:val="CabealhoChar"/>
    <w:uiPriority w:val="99"/>
    <w:unhideWhenUsed/>
    <w:rsid w:val="00B81C3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1C36"/>
    <w:rPr>
      <w:rFonts w:ascii="Geometr415 Lt BT" w:hAnsi="Geometr415 Lt BT"/>
      <w:sz w:val="20"/>
    </w:rPr>
  </w:style>
  <w:style w:type="paragraph" w:styleId="Rodap">
    <w:name w:val="footer"/>
    <w:basedOn w:val="Normal"/>
    <w:link w:val="RodapChar"/>
    <w:uiPriority w:val="99"/>
    <w:unhideWhenUsed/>
    <w:rsid w:val="00B81C3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1C36"/>
    <w:rPr>
      <w:rFonts w:ascii="Geometr415 Lt BT" w:hAnsi="Geometr415 Lt BT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1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1C36"/>
    <w:rPr>
      <w:rFonts w:ascii="Tahoma" w:hAnsi="Tahoma" w:cs="Tahoma"/>
      <w:sz w:val="16"/>
      <w:szCs w:val="16"/>
    </w:rPr>
  </w:style>
  <w:style w:type="paragraph" w:customStyle="1" w:styleId="ANEXO">
    <w:name w:val="ANEXO"/>
    <w:basedOn w:val="CVRDNORMAL"/>
    <w:rsid w:val="00554605"/>
    <w:rPr>
      <w:b/>
      <w:caps/>
    </w:rPr>
  </w:style>
  <w:style w:type="paragraph" w:customStyle="1" w:styleId="CVRDNORMAL">
    <w:name w:val="CVRD_ NORMAL"/>
    <w:basedOn w:val="Normal"/>
    <w:autoRedefine/>
    <w:rsid w:val="00554605"/>
    <w:pPr>
      <w:tabs>
        <w:tab w:val="right" w:pos="9922"/>
      </w:tabs>
      <w:spacing w:line="240" w:lineRule="auto"/>
      <w:jc w:val="left"/>
    </w:pPr>
    <w:rPr>
      <w:rFonts w:ascii="Geometr231 BT" w:eastAsia="Times New Roman" w:hAnsi="Geometr231 BT" w:cs="Times New Roman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A0BB8"/>
    <w:pPr>
      <w:ind w:left="720"/>
      <w:contextualSpacing/>
      <w:jc w:val="left"/>
    </w:pPr>
  </w:style>
  <w:style w:type="paragraph" w:styleId="CabealhodoSumrio">
    <w:name w:val="TOC Heading"/>
    <w:basedOn w:val="Ttulo1"/>
    <w:next w:val="Normal"/>
    <w:uiPriority w:val="39"/>
    <w:unhideWhenUsed/>
    <w:qFormat/>
    <w:rsid w:val="001A0BB8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1A0BB8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1A0BB8"/>
    <w:pPr>
      <w:spacing w:after="100"/>
      <w:ind w:left="200"/>
    </w:pPr>
  </w:style>
  <w:style w:type="character" w:styleId="Hyperlink">
    <w:name w:val="Hyperlink"/>
    <w:basedOn w:val="Fontepargpadro"/>
    <w:uiPriority w:val="99"/>
    <w:unhideWhenUsed/>
    <w:rsid w:val="001A0BB8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254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A51B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7B73-6024-4DE0-A070-AC51A5EE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Mol Engenharia LTDA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Octávio Scapin</dc:creator>
  <cp:lastModifiedBy>office365</cp:lastModifiedBy>
  <cp:revision>4</cp:revision>
  <cp:lastPrinted>2025-08-11T19:19:00Z</cp:lastPrinted>
  <dcterms:created xsi:type="dcterms:W3CDTF">2025-08-11T19:19:00Z</dcterms:created>
  <dcterms:modified xsi:type="dcterms:W3CDTF">2025-08-11T19:19:00Z</dcterms:modified>
</cp:coreProperties>
</file>